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EB" w:rsidRDefault="00A948EB" w:rsidP="00A948EB">
      <w:pPr>
        <w:pStyle w:val="Default"/>
        <w:rPr>
          <w:b/>
          <w:bCs/>
          <w:sz w:val="28"/>
          <w:szCs w:val="28"/>
        </w:rPr>
      </w:pPr>
      <w:bookmarkStart w:id="0" w:name="_GoBack"/>
      <w:bookmarkEnd w:id="0"/>
      <w:r>
        <w:rPr>
          <w:b/>
          <w:bCs/>
          <w:sz w:val="28"/>
          <w:szCs w:val="28"/>
        </w:rPr>
        <w:t xml:space="preserve">                         Convegno Orizzonti del Diritto Commerciale</w:t>
      </w:r>
    </w:p>
    <w:p w:rsidR="00A948EB" w:rsidRDefault="00A948EB" w:rsidP="00A948EB">
      <w:pPr>
        <w:pStyle w:val="Default"/>
        <w:rPr>
          <w:b/>
          <w:bCs/>
          <w:sz w:val="28"/>
          <w:szCs w:val="28"/>
        </w:rPr>
      </w:pPr>
      <w:r>
        <w:rPr>
          <w:b/>
          <w:bCs/>
          <w:sz w:val="28"/>
          <w:szCs w:val="28"/>
        </w:rPr>
        <w:t xml:space="preserve">                        L’evoluzione tecnologica e il diritto commerciale</w:t>
      </w:r>
    </w:p>
    <w:p w:rsidR="00A948EB" w:rsidRDefault="00A948EB" w:rsidP="00A948EB">
      <w:pPr>
        <w:pStyle w:val="Default"/>
        <w:rPr>
          <w:b/>
          <w:bCs/>
          <w:sz w:val="28"/>
          <w:szCs w:val="28"/>
        </w:rPr>
      </w:pPr>
    </w:p>
    <w:p w:rsidR="00A948EB" w:rsidRDefault="00A948EB" w:rsidP="00A948EB">
      <w:pPr>
        <w:pStyle w:val="Default"/>
        <w:rPr>
          <w:b/>
          <w:bCs/>
          <w:sz w:val="28"/>
          <w:szCs w:val="28"/>
        </w:rPr>
      </w:pPr>
      <w:r>
        <w:rPr>
          <w:b/>
          <w:bCs/>
          <w:sz w:val="28"/>
          <w:szCs w:val="28"/>
        </w:rPr>
        <w:t xml:space="preserve">                                    </w:t>
      </w:r>
      <w:proofErr w:type="spellStart"/>
      <w:r>
        <w:rPr>
          <w:b/>
          <w:bCs/>
          <w:sz w:val="28"/>
          <w:szCs w:val="28"/>
        </w:rPr>
        <w:t>Prof.Marilena</w:t>
      </w:r>
      <w:proofErr w:type="spellEnd"/>
      <w:r>
        <w:rPr>
          <w:b/>
          <w:bCs/>
          <w:sz w:val="28"/>
          <w:szCs w:val="28"/>
        </w:rPr>
        <w:t xml:space="preserve"> Rispoli Farina</w:t>
      </w:r>
    </w:p>
    <w:p w:rsidR="00A948EB" w:rsidRDefault="00A948EB" w:rsidP="00A948EB">
      <w:pPr>
        <w:pStyle w:val="Default"/>
        <w:rPr>
          <w:b/>
          <w:bCs/>
          <w:sz w:val="28"/>
          <w:szCs w:val="28"/>
        </w:rPr>
      </w:pPr>
      <w:r>
        <w:rPr>
          <w:b/>
          <w:bCs/>
          <w:sz w:val="28"/>
          <w:szCs w:val="28"/>
        </w:rPr>
        <w:t xml:space="preserve">                                Università di Napoli </w:t>
      </w:r>
      <w:proofErr w:type="spellStart"/>
      <w:r>
        <w:rPr>
          <w:b/>
          <w:bCs/>
          <w:sz w:val="28"/>
          <w:szCs w:val="28"/>
        </w:rPr>
        <w:t>FedericoII</w:t>
      </w:r>
      <w:proofErr w:type="spellEnd"/>
    </w:p>
    <w:p w:rsidR="00A948EB" w:rsidRPr="00A948EB" w:rsidRDefault="00A948EB" w:rsidP="00A948EB">
      <w:pPr>
        <w:rPr>
          <w:b/>
          <w:sz w:val="23"/>
          <w:szCs w:val="23"/>
        </w:rPr>
      </w:pPr>
    </w:p>
    <w:p w:rsidR="005338E8" w:rsidRDefault="00C33155" w:rsidP="00C33155">
      <w:pPr>
        <w:jc w:val="center"/>
        <w:rPr>
          <w:b/>
          <w:sz w:val="23"/>
          <w:szCs w:val="23"/>
        </w:rPr>
      </w:pPr>
      <w:r w:rsidRPr="00A948EB">
        <w:rPr>
          <w:rFonts w:ascii="Times New Roman" w:hAnsi="Times New Roman" w:cs="Times New Roman"/>
          <w:b/>
          <w:sz w:val="24"/>
          <w:szCs w:val="24"/>
          <w:lang w:val="en-US"/>
        </w:rPr>
        <w:t>ABSTRACT: La Strong Customer Authentication</w:t>
      </w:r>
      <w:r w:rsidR="005338E8" w:rsidRPr="005338E8">
        <w:rPr>
          <w:b/>
          <w:sz w:val="23"/>
          <w:szCs w:val="23"/>
        </w:rPr>
        <w:t xml:space="preserve"> </w:t>
      </w:r>
    </w:p>
    <w:p w:rsidR="00C33155" w:rsidRPr="00A948EB" w:rsidRDefault="005338E8" w:rsidP="00C33155">
      <w:pPr>
        <w:jc w:val="center"/>
        <w:rPr>
          <w:rFonts w:ascii="Times New Roman" w:hAnsi="Times New Roman" w:cs="Times New Roman"/>
          <w:b/>
          <w:sz w:val="24"/>
          <w:szCs w:val="24"/>
          <w:lang w:val="en-US"/>
        </w:rPr>
      </w:pPr>
      <w:r w:rsidRPr="00A948EB">
        <w:rPr>
          <w:b/>
          <w:sz w:val="23"/>
          <w:szCs w:val="23"/>
        </w:rPr>
        <w:t>Settore :I servizi di pagamento on line</w:t>
      </w:r>
    </w:p>
    <w:p w:rsidR="00C33155" w:rsidRPr="00A948EB" w:rsidRDefault="00C33155" w:rsidP="00276DF1">
      <w:pPr>
        <w:jc w:val="both"/>
        <w:rPr>
          <w:rFonts w:ascii="Times New Roman" w:hAnsi="Times New Roman" w:cs="Times New Roman"/>
          <w:sz w:val="24"/>
          <w:szCs w:val="24"/>
          <w:lang w:val="en-US"/>
        </w:rPr>
      </w:pPr>
    </w:p>
    <w:p w:rsidR="004E7893" w:rsidRPr="002639A6" w:rsidRDefault="00276DF1" w:rsidP="00276DF1">
      <w:pPr>
        <w:jc w:val="both"/>
        <w:rPr>
          <w:rFonts w:ascii="Times New Roman" w:hAnsi="Times New Roman" w:cs="Times New Roman"/>
          <w:sz w:val="24"/>
          <w:szCs w:val="24"/>
        </w:rPr>
      </w:pPr>
      <w:r w:rsidRPr="002639A6">
        <w:rPr>
          <w:rFonts w:ascii="Times New Roman" w:hAnsi="Times New Roman" w:cs="Times New Roman"/>
          <w:sz w:val="24"/>
          <w:szCs w:val="24"/>
        </w:rPr>
        <w:t xml:space="preserve">La Direttiva </w:t>
      </w:r>
      <w:proofErr w:type="spellStart"/>
      <w:r w:rsidRPr="002639A6">
        <w:rPr>
          <w:rFonts w:ascii="Times New Roman" w:hAnsi="Times New Roman" w:cs="Times New Roman"/>
          <w:sz w:val="24"/>
          <w:szCs w:val="24"/>
        </w:rPr>
        <w:t>Payment</w:t>
      </w:r>
      <w:proofErr w:type="spellEnd"/>
      <w:r w:rsidRPr="002639A6">
        <w:rPr>
          <w:rFonts w:ascii="Times New Roman" w:hAnsi="Times New Roman" w:cs="Times New Roman"/>
          <w:sz w:val="24"/>
          <w:szCs w:val="24"/>
        </w:rPr>
        <w:t xml:space="preserve"> Service Directive 2 ha </w:t>
      </w:r>
      <w:r w:rsidR="00A4234C" w:rsidRPr="002639A6">
        <w:rPr>
          <w:rFonts w:ascii="Times New Roman" w:hAnsi="Times New Roman" w:cs="Times New Roman"/>
          <w:sz w:val="24"/>
          <w:szCs w:val="24"/>
        </w:rPr>
        <w:t>radicalmente</w:t>
      </w:r>
      <w:r w:rsidRPr="002639A6">
        <w:rPr>
          <w:rFonts w:ascii="Times New Roman" w:hAnsi="Times New Roman" w:cs="Times New Roman"/>
          <w:sz w:val="24"/>
          <w:szCs w:val="24"/>
        </w:rPr>
        <w:t xml:space="preserve"> innovato non solo l’</w:t>
      </w:r>
      <w:r w:rsidR="00A4234C" w:rsidRPr="002639A6">
        <w:rPr>
          <w:rFonts w:ascii="Times New Roman" w:hAnsi="Times New Roman" w:cs="Times New Roman"/>
          <w:sz w:val="24"/>
          <w:szCs w:val="24"/>
        </w:rPr>
        <w:t>ambito</w:t>
      </w:r>
      <w:r w:rsidRPr="002639A6">
        <w:rPr>
          <w:rFonts w:ascii="Times New Roman" w:hAnsi="Times New Roman" w:cs="Times New Roman"/>
          <w:sz w:val="24"/>
          <w:szCs w:val="24"/>
        </w:rPr>
        <w:t xml:space="preserve"> dei servizi di pagamento, comprendendo in essi anche quelli prestati </w:t>
      </w:r>
      <w:r w:rsidRPr="002639A6">
        <w:rPr>
          <w:rFonts w:ascii="Times New Roman" w:hAnsi="Times New Roman" w:cs="Times New Roman"/>
          <w:i/>
          <w:sz w:val="24"/>
          <w:szCs w:val="24"/>
        </w:rPr>
        <w:t>online</w:t>
      </w:r>
      <w:r w:rsidRPr="002639A6">
        <w:rPr>
          <w:rFonts w:ascii="Times New Roman" w:hAnsi="Times New Roman" w:cs="Times New Roman"/>
          <w:sz w:val="24"/>
          <w:szCs w:val="24"/>
        </w:rPr>
        <w:t xml:space="preserve">, ma anche le modalità attraverso le quali gli utenti dei servizi di pagamento potranno usufruire dei servizi </w:t>
      </w:r>
      <w:proofErr w:type="spellStart"/>
      <w:r w:rsidRPr="002639A6">
        <w:rPr>
          <w:rFonts w:ascii="Times New Roman" w:hAnsi="Times New Roman" w:cs="Times New Roman"/>
          <w:sz w:val="24"/>
          <w:szCs w:val="24"/>
        </w:rPr>
        <w:t>medesimi:</w:t>
      </w:r>
      <w:r w:rsidR="00A4234C">
        <w:rPr>
          <w:rFonts w:ascii="Times New Roman" w:hAnsi="Times New Roman" w:cs="Times New Roman"/>
          <w:sz w:val="24"/>
          <w:szCs w:val="24"/>
        </w:rPr>
        <w:t>introducendo</w:t>
      </w:r>
      <w:proofErr w:type="spellEnd"/>
      <w:r w:rsidR="00A4234C">
        <w:rPr>
          <w:rFonts w:ascii="Times New Roman" w:hAnsi="Times New Roman" w:cs="Times New Roman"/>
          <w:sz w:val="24"/>
          <w:szCs w:val="24"/>
        </w:rPr>
        <w:t>, cioè,</w:t>
      </w:r>
      <w:r w:rsidRPr="002639A6">
        <w:rPr>
          <w:rFonts w:ascii="Times New Roman" w:hAnsi="Times New Roman" w:cs="Times New Roman"/>
          <w:sz w:val="24"/>
          <w:szCs w:val="24"/>
        </w:rPr>
        <w:t xml:space="preserve"> una modalità di </w:t>
      </w:r>
      <w:proofErr w:type="spellStart"/>
      <w:r w:rsidRPr="002639A6">
        <w:rPr>
          <w:rFonts w:ascii="Times New Roman" w:hAnsi="Times New Roman" w:cs="Times New Roman"/>
          <w:sz w:val="24"/>
          <w:szCs w:val="24"/>
        </w:rPr>
        <w:t>accesso“forte</w:t>
      </w:r>
      <w:proofErr w:type="spellEnd"/>
      <w:r w:rsidRPr="002639A6">
        <w:rPr>
          <w:rFonts w:ascii="Times New Roman" w:hAnsi="Times New Roman" w:cs="Times New Roman"/>
          <w:sz w:val="24"/>
          <w:szCs w:val="24"/>
        </w:rPr>
        <w:t>”, denominata a tal fine “</w:t>
      </w:r>
      <w:bookmarkStart w:id="1" w:name="_Hlk527669762"/>
      <w:r w:rsidRPr="002639A6">
        <w:rPr>
          <w:rFonts w:ascii="Times New Roman" w:hAnsi="Times New Roman" w:cs="Times New Roman"/>
          <w:i/>
          <w:sz w:val="24"/>
          <w:szCs w:val="24"/>
        </w:rPr>
        <w:t xml:space="preserve">strong </w:t>
      </w:r>
      <w:proofErr w:type="spellStart"/>
      <w:r w:rsidRPr="002639A6">
        <w:rPr>
          <w:rFonts w:ascii="Times New Roman" w:hAnsi="Times New Roman" w:cs="Times New Roman"/>
          <w:i/>
          <w:sz w:val="24"/>
          <w:szCs w:val="24"/>
        </w:rPr>
        <w:t>customer</w:t>
      </w:r>
      <w:proofErr w:type="spellEnd"/>
      <w:r w:rsidRPr="002639A6">
        <w:rPr>
          <w:rFonts w:ascii="Times New Roman" w:hAnsi="Times New Roman" w:cs="Times New Roman"/>
          <w:i/>
          <w:sz w:val="24"/>
          <w:szCs w:val="24"/>
        </w:rPr>
        <w:t xml:space="preserve"> </w:t>
      </w:r>
      <w:proofErr w:type="spellStart"/>
      <w:r w:rsidRPr="002639A6">
        <w:rPr>
          <w:rFonts w:ascii="Times New Roman" w:hAnsi="Times New Roman" w:cs="Times New Roman"/>
          <w:i/>
          <w:sz w:val="24"/>
          <w:szCs w:val="24"/>
        </w:rPr>
        <w:t>authentication</w:t>
      </w:r>
      <w:bookmarkEnd w:id="1"/>
      <w:proofErr w:type="spellEnd"/>
      <w:r w:rsidRPr="002639A6">
        <w:rPr>
          <w:rFonts w:ascii="Times New Roman" w:hAnsi="Times New Roman" w:cs="Times New Roman"/>
          <w:sz w:val="24"/>
          <w:szCs w:val="24"/>
        </w:rPr>
        <w:t>”.</w:t>
      </w:r>
    </w:p>
    <w:p w:rsidR="00276DF1" w:rsidRPr="002639A6" w:rsidRDefault="00276DF1" w:rsidP="00276DF1">
      <w:pPr>
        <w:jc w:val="both"/>
        <w:rPr>
          <w:rFonts w:ascii="Times New Roman" w:hAnsi="Times New Roman" w:cs="Times New Roman"/>
          <w:sz w:val="24"/>
          <w:szCs w:val="24"/>
        </w:rPr>
      </w:pPr>
      <w:r w:rsidRPr="002639A6">
        <w:rPr>
          <w:rFonts w:ascii="Times New Roman" w:hAnsi="Times New Roman" w:cs="Times New Roman"/>
          <w:sz w:val="24"/>
          <w:szCs w:val="24"/>
        </w:rPr>
        <w:t xml:space="preserve">Scopo del </w:t>
      </w:r>
      <w:r w:rsidRPr="00A4234C">
        <w:rPr>
          <w:rFonts w:ascii="Times New Roman" w:hAnsi="Times New Roman" w:cs="Times New Roman"/>
          <w:i/>
          <w:sz w:val="24"/>
          <w:szCs w:val="24"/>
        </w:rPr>
        <w:t>Paper</w:t>
      </w:r>
      <w:r w:rsidRPr="002639A6">
        <w:rPr>
          <w:rFonts w:ascii="Times New Roman" w:hAnsi="Times New Roman" w:cs="Times New Roman"/>
          <w:sz w:val="24"/>
          <w:szCs w:val="24"/>
        </w:rPr>
        <w:t xml:space="preserve"> che si intende presentare al Convegno è quello di mostrare le interazioni tra </w:t>
      </w:r>
      <w:r w:rsidRPr="00A4234C">
        <w:rPr>
          <w:rFonts w:ascii="Times New Roman" w:hAnsi="Times New Roman" w:cs="Times New Roman"/>
          <w:i/>
          <w:sz w:val="24"/>
          <w:szCs w:val="24"/>
        </w:rPr>
        <w:t xml:space="preserve">strong </w:t>
      </w:r>
      <w:proofErr w:type="spellStart"/>
      <w:r w:rsidRPr="00A4234C">
        <w:rPr>
          <w:rFonts w:ascii="Times New Roman" w:hAnsi="Times New Roman" w:cs="Times New Roman"/>
          <w:i/>
          <w:sz w:val="24"/>
          <w:szCs w:val="24"/>
        </w:rPr>
        <w:t>customer</w:t>
      </w:r>
      <w:proofErr w:type="spellEnd"/>
      <w:r w:rsidRPr="00A4234C">
        <w:rPr>
          <w:rFonts w:ascii="Times New Roman" w:hAnsi="Times New Roman" w:cs="Times New Roman"/>
          <w:i/>
          <w:sz w:val="24"/>
          <w:szCs w:val="24"/>
        </w:rPr>
        <w:t xml:space="preserve"> </w:t>
      </w:r>
      <w:proofErr w:type="spellStart"/>
      <w:r w:rsidRPr="00A4234C">
        <w:rPr>
          <w:rFonts w:ascii="Times New Roman" w:hAnsi="Times New Roman" w:cs="Times New Roman"/>
          <w:i/>
          <w:sz w:val="24"/>
          <w:szCs w:val="24"/>
        </w:rPr>
        <w:t>authentication</w:t>
      </w:r>
      <w:proofErr w:type="spellEnd"/>
      <w:r w:rsidRPr="00A4234C">
        <w:rPr>
          <w:rFonts w:ascii="Times New Roman" w:hAnsi="Times New Roman" w:cs="Times New Roman"/>
          <w:i/>
          <w:sz w:val="24"/>
          <w:szCs w:val="24"/>
        </w:rPr>
        <w:t xml:space="preserve"> </w:t>
      </w:r>
      <w:r w:rsidRPr="002639A6">
        <w:rPr>
          <w:rFonts w:ascii="Times New Roman" w:hAnsi="Times New Roman" w:cs="Times New Roman"/>
          <w:sz w:val="24"/>
          <w:szCs w:val="24"/>
        </w:rPr>
        <w:t>e le regole generali di applicazione della PSD 2: quest’ultima, infatti, statuisce che il cliente che usufruisca di un servizio di pagamento non sopporterà alcuna perdita derivante da un utilizzo illecito dello strumento di pagamento medesimo, laddove la banca non dimostri che aveva approntato correttamente tutt</w:t>
      </w:r>
      <w:r w:rsidR="00296575" w:rsidRPr="002639A6">
        <w:rPr>
          <w:rFonts w:ascii="Times New Roman" w:hAnsi="Times New Roman" w:cs="Times New Roman"/>
          <w:sz w:val="24"/>
          <w:szCs w:val="24"/>
        </w:rPr>
        <w:t xml:space="preserve">e le misure necessarie volte a garantire </w:t>
      </w:r>
      <w:r w:rsidR="0086507C" w:rsidRPr="002639A6">
        <w:rPr>
          <w:rFonts w:ascii="Times New Roman" w:hAnsi="Times New Roman" w:cs="Times New Roman"/>
          <w:sz w:val="24"/>
          <w:szCs w:val="24"/>
        </w:rPr>
        <w:t>al cliente un accesso sicuro</w:t>
      </w:r>
      <w:r w:rsidR="002E1353" w:rsidRPr="002639A6">
        <w:rPr>
          <w:rFonts w:ascii="Times New Roman" w:hAnsi="Times New Roman" w:cs="Times New Roman"/>
          <w:sz w:val="24"/>
          <w:szCs w:val="24"/>
        </w:rPr>
        <w:t>.</w:t>
      </w:r>
    </w:p>
    <w:p w:rsidR="002E1353" w:rsidRDefault="002E1353" w:rsidP="002E1353">
      <w:pPr>
        <w:jc w:val="both"/>
        <w:rPr>
          <w:rFonts w:ascii="Times New Roman" w:hAnsi="Times New Roman" w:cs="Times New Roman"/>
          <w:sz w:val="24"/>
          <w:szCs w:val="24"/>
        </w:rPr>
      </w:pPr>
      <w:r w:rsidRPr="002639A6">
        <w:rPr>
          <w:rFonts w:ascii="Times New Roman" w:hAnsi="Times New Roman" w:cs="Times New Roman"/>
          <w:sz w:val="24"/>
          <w:szCs w:val="24"/>
        </w:rPr>
        <w:t xml:space="preserve">Per accesso sicuro </w:t>
      </w:r>
      <w:r w:rsidR="008E3719">
        <w:rPr>
          <w:rFonts w:ascii="Times New Roman" w:hAnsi="Times New Roman" w:cs="Times New Roman"/>
          <w:sz w:val="24"/>
          <w:szCs w:val="24"/>
        </w:rPr>
        <w:t xml:space="preserve">si intende </w:t>
      </w:r>
      <w:r w:rsidRPr="002639A6">
        <w:rPr>
          <w:rFonts w:ascii="Times New Roman" w:hAnsi="Times New Roman" w:cs="Times New Roman"/>
          <w:sz w:val="24"/>
          <w:szCs w:val="24"/>
        </w:rPr>
        <w:t xml:space="preserve"> il possesso, da parte del cliente, di almeno due tra tre elementi: </w:t>
      </w:r>
      <w:r w:rsidRPr="002639A6">
        <w:rPr>
          <w:rFonts w:ascii="Times New Roman" w:hAnsi="Times New Roman" w:cs="Times New Roman"/>
          <w:i/>
          <w:sz w:val="24"/>
          <w:szCs w:val="24"/>
        </w:rPr>
        <w:t>Knowledge</w:t>
      </w:r>
      <w:r w:rsidR="00DE7599">
        <w:rPr>
          <w:rFonts w:ascii="Times New Roman" w:hAnsi="Times New Roman" w:cs="Times New Roman"/>
          <w:sz w:val="24"/>
          <w:szCs w:val="24"/>
        </w:rPr>
        <w:t>, cioè</w:t>
      </w:r>
      <w:r w:rsidRPr="002639A6">
        <w:rPr>
          <w:rFonts w:ascii="Times New Roman" w:hAnsi="Times New Roman" w:cs="Times New Roman"/>
          <w:sz w:val="24"/>
          <w:szCs w:val="24"/>
        </w:rPr>
        <w:t xml:space="preserve"> qualcosa che </w:t>
      </w:r>
      <w:r w:rsidR="00DE7599">
        <w:rPr>
          <w:rFonts w:ascii="Times New Roman" w:hAnsi="Times New Roman" w:cs="Times New Roman"/>
          <w:sz w:val="24"/>
          <w:szCs w:val="24"/>
        </w:rPr>
        <w:t>egli conosce</w:t>
      </w:r>
      <w:r w:rsidRPr="002639A6">
        <w:rPr>
          <w:rFonts w:ascii="Times New Roman" w:hAnsi="Times New Roman" w:cs="Times New Roman"/>
          <w:sz w:val="24"/>
          <w:szCs w:val="24"/>
        </w:rPr>
        <w:t xml:space="preserve"> (</w:t>
      </w:r>
      <w:r w:rsidR="00F92911" w:rsidRPr="002639A6">
        <w:rPr>
          <w:rFonts w:ascii="Times New Roman" w:hAnsi="Times New Roman" w:cs="Times New Roman"/>
          <w:sz w:val="24"/>
          <w:szCs w:val="24"/>
        </w:rPr>
        <w:t>come ad esempio un PIN o una password</w:t>
      </w:r>
      <w:r w:rsidRPr="002639A6">
        <w:rPr>
          <w:rFonts w:ascii="Times New Roman" w:hAnsi="Times New Roman" w:cs="Times New Roman"/>
          <w:sz w:val="24"/>
          <w:szCs w:val="24"/>
        </w:rPr>
        <w:t>)</w:t>
      </w:r>
      <w:r w:rsidR="00F92911" w:rsidRPr="002639A6">
        <w:rPr>
          <w:rFonts w:ascii="Times New Roman" w:hAnsi="Times New Roman" w:cs="Times New Roman"/>
          <w:sz w:val="24"/>
          <w:szCs w:val="24"/>
        </w:rPr>
        <w:t xml:space="preserve">; </w:t>
      </w:r>
      <w:r w:rsidRPr="002E1353">
        <w:rPr>
          <w:rFonts w:ascii="Times New Roman" w:hAnsi="Times New Roman" w:cs="Times New Roman"/>
          <w:i/>
          <w:sz w:val="24"/>
          <w:szCs w:val="24"/>
        </w:rPr>
        <w:t>Ownership</w:t>
      </w:r>
      <w:r w:rsidR="00F92911" w:rsidRPr="002639A6">
        <w:rPr>
          <w:rFonts w:ascii="Times New Roman" w:hAnsi="Times New Roman" w:cs="Times New Roman"/>
          <w:sz w:val="24"/>
          <w:szCs w:val="24"/>
        </w:rPr>
        <w:t>, e cioè</w:t>
      </w:r>
      <w:r w:rsidRPr="002E1353">
        <w:rPr>
          <w:rFonts w:ascii="Times New Roman" w:hAnsi="Times New Roman" w:cs="Times New Roman"/>
          <w:sz w:val="24"/>
          <w:szCs w:val="24"/>
        </w:rPr>
        <w:t xml:space="preserve"> qualcosa che possied</w:t>
      </w:r>
      <w:r w:rsidR="00DE7599">
        <w:rPr>
          <w:rFonts w:ascii="Times New Roman" w:hAnsi="Times New Roman" w:cs="Times New Roman"/>
          <w:sz w:val="24"/>
          <w:szCs w:val="24"/>
        </w:rPr>
        <w:t>e</w:t>
      </w:r>
      <w:r w:rsidRPr="002E1353">
        <w:rPr>
          <w:rFonts w:ascii="Times New Roman" w:hAnsi="Times New Roman" w:cs="Times New Roman"/>
          <w:sz w:val="24"/>
          <w:szCs w:val="24"/>
        </w:rPr>
        <w:t xml:space="preserve"> (</w:t>
      </w:r>
      <w:r w:rsidR="00DE7599">
        <w:rPr>
          <w:rFonts w:ascii="Times New Roman" w:hAnsi="Times New Roman" w:cs="Times New Roman"/>
          <w:sz w:val="24"/>
          <w:szCs w:val="24"/>
        </w:rPr>
        <w:t>per esempio</w:t>
      </w:r>
      <w:r w:rsidRPr="002E1353">
        <w:rPr>
          <w:rFonts w:ascii="Times New Roman" w:hAnsi="Times New Roman" w:cs="Times New Roman"/>
          <w:sz w:val="24"/>
          <w:szCs w:val="24"/>
        </w:rPr>
        <w:t xml:space="preserve"> </w:t>
      </w:r>
      <w:proofErr w:type="spellStart"/>
      <w:r w:rsidRPr="002E1353">
        <w:rPr>
          <w:rFonts w:ascii="Times New Roman" w:hAnsi="Times New Roman" w:cs="Times New Roman"/>
          <w:sz w:val="24"/>
          <w:szCs w:val="24"/>
        </w:rPr>
        <w:t>smartphone</w:t>
      </w:r>
      <w:proofErr w:type="spellEnd"/>
      <w:r w:rsidRPr="002E1353">
        <w:rPr>
          <w:rFonts w:ascii="Times New Roman" w:hAnsi="Times New Roman" w:cs="Times New Roman"/>
          <w:sz w:val="24"/>
          <w:szCs w:val="24"/>
        </w:rPr>
        <w:t xml:space="preserve">, chip, </w:t>
      </w:r>
      <w:proofErr w:type="spellStart"/>
      <w:r w:rsidRPr="002E1353">
        <w:rPr>
          <w:rFonts w:ascii="Times New Roman" w:hAnsi="Times New Roman" w:cs="Times New Roman"/>
          <w:sz w:val="24"/>
          <w:szCs w:val="24"/>
        </w:rPr>
        <w:t>token</w:t>
      </w:r>
      <w:proofErr w:type="spellEnd"/>
      <w:r w:rsidRPr="002E1353">
        <w:rPr>
          <w:rFonts w:ascii="Times New Roman" w:hAnsi="Times New Roman" w:cs="Times New Roman"/>
          <w:sz w:val="24"/>
          <w:szCs w:val="24"/>
        </w:rPr>
        <w:t>)</w:t>
      </w:r>
      <w:r w:rsidR="00F92911" w:rsidRPr="002639A6">
        <w:rPr>
          <w:rFonts w:ascii="Times New Roman" w:hAnsi="Times New Roman" w:cs="Times New Roman"/>
          <w:sz w:val="24"/>
          <w:szCs w:val="24"/>
        </w:rPr>
        <w:t xml:space="preserve">; oppure </w:t>
      </w:r>
      <w:proofErr w:type="spellStart"/>
      <w:r w:rsidR="00F92911" w:rsidRPr="002639A6">
        <w:rPr>
          <w:rFonts w:ascii="Times New Roman" w:hAnsi="Times New Roman" w:cs="Times New Roman"/>
          <w:i/>
          <w:sz w:val="24"/>
          <w:szCs w:val="24"/>
        </w:rPr>
        <w:t>Inherence</w:t>
      </w:r>
      <w:proofErr w:type="spellEnd"/>
      <w:r w:rsidR="00F92911" w:rsidRPr="002639A6">
        <w:rPr>
          <w:rFonts w:ascii="Times New Roman" w:hAnsi="Times New Roman" w:cs="Times New Roman"/>
          <w:sz w:val="24"/>
          <w:szCs w:val="24"/>
        </w:rPr>
        <w:t xml:space="preserve">, e cioè una connotazione essenziale del cliente ed a lui riconducibile univocamente </w:t>
      </w:r>
      <w:r w:rsidRPr="002639A6">
        <w:rPr>
          <w:rFonts w:ascii="Times New Roman" w:hAnsi="Times New Roman" w:cs="Times New Roman"/>
          <w:sz w:val="24"/>
          <w:szCs w:val="24"/>
        </w:rPr>
        <w:t>(e.g. impronta, retina)</w:t>
      </w:r>
      <w:r w:rsidR="002639A6" w:rsidRPr="002639A6">
        <w:rPr>
          <w:rFonts w:ascii="Times New Roman" w:hAnsi="Times New Roman" w:cs="Times New Roman"/>
          <w:sz w:val="24"/>
          <w:szCs w:val="24"/>
        </w:rPr>
        <w:t>. I due elementi</w:t>
      </w:r>
      <w:r w:rsidR="002639A6">
        <w:rPr>
          <w:rFonts w:ascii="Times New Roman" w:hAnsi="Times New Roman" w:cs="Times New Roman"/>
          <w:sz w:val="24"/>
          <w:szCs w:val="24"/>
        </w:rPr>
        <w:t xml:space="preserve"> prescelti devono essere tra loro indipendenti, e l’eventuale compromissione dell’uno non deve inficiare anche l’altro.</w:t>
      </w:r>
    </w:p>
    <w:p w:rsidR="008E3719" w:rsidRDefault="008E3719" w:rsidP="002E1353">
      <w:pPr>
        <w:jc w:val="both"/>
        <w:rPr>
          <w:rFonts w:ascii="Times New Roman" w:hAnsi="Times New Roman" w:cs="Times New Roman"/>
          <w:sz w:val="24"/>
          <w:szCs w:val="24"/>
        </w:rPr>
      </w:pPr>
      <w:r>
        <w:rPr>
          <w:rFonts w:ascii="Times New Roman" w:hAnsi="Times New Roman" w:cs="Times New Roman"/>
          <w:sz w:val="24"/>
          <w:szCs w:val="24"/>
        </w:rPr>
        <w:t>Sulla base della previgente regolamentazione della prestazione dei sevizi di pagamento</w:t>
      </w:r>
      <w:r w:rsidR="007814AC">
        <w:rPr>
          <w:rFonts w:ascii="Times New Roman" w:hAnsi="Times New Roman" w:cs="Times New Roman"/>
          <w:sz w:val="24"/>
          <w:szCs w:val="24"/>
        </w:rPr>
        <w:t>, i</w:t>
      </w:r>
      <w:r>
        <w:rPr>
          <w:rFonts w:ascii="Times New Roman" w:hAnsi="Times New Roman" w:cs="Times New Roman"/>
          <w:sz w:val="24"/>
          <w:szCs w:val="24"/>
        </w:rPr>
        <w:t>ntrodotta con la PSD1, la dottrina e la Giurisprudenza dell’Arbitro Bancario ( alle  cui copiose decisioni  si</w:t>
      </w:r>
    </w:p>
    <w:p w:rsidR="00A14363" w:rsidRDefault="008E3719" w:rsidP="002E1353">
      <w:pPr>
        <w:jc w:val="both"/>
        <w:rPr>
          <w:rFonts w:ascii="Times New Roman" w:hAnsi="Times New Roman" w:cs="Times New Roman"/>
          <w:sz w:val="24"/>
          <w:szCs w:val="24"/>
        </w:rPr>
      </w:pPr>
      <w:r>
        <w:rPr>
          <w:rFonts w:ascii="Times New Roman" w:hAnsi="Times New Roman" w:cs="Times New Roman"/>
          <w:sz w:val="24"/>
          <w:szCs w:val="24"/>
        </w:rPr>
        <w:t xml:space="preserve">rinvia) si erano espresse in senso non sempre favorevole al cliente consumatore in punto di </w:t>
      </w:r>
      <w:proofErr w:type="spellStart"/>
      <w:r>
        <w:rPr>
          <w:rFonts w:ascii="Times New Roman" w:hAnsi="Times New Roman" w:cs="Times New Roman"/>
          <w:sz w:val="24"/>
          <w:szCs w:val="24"/>
        </w:rPr>
        <w:t>responsabiltà</w:t>
      </w:r>
      <w:proofErr w:type="spellEnd"/>
      <w:r>
        <w:rPr>
          <w:rFonts w:ascii="Times New Roman" w:hAnsi="Times New Roman" w:cs="Times New Roman"/>
          <w:sz w:val="24"/>
          <w:szCs w:val="24"/>
        </w:rPr>
        <w:t xml:space="preserve"> per operazioni fr</w:t>
      </w:r>
      <w:r w:rsidR="00C42C68">
        <w:rPr>
          <w:rFonts w:ascii="Times New Roman" w:hAnsi="Times New Roman" w:cs="Times New Roman"/>
          <w:sz w:val="24"/>
          <w:szCs w:val="24"/>
        </w:rPr>
        <w:t>a</w:t>
      </w:r>
      <w:r>
        <w:rPr>
          <w:rFonts w:ascii="Times New Roman" w:hAnsi="Times New Roman" w:cs="Times New Roman"/>
          <w:sz w:val="24"/>
          <w:szCs w:val="24"/>
        </w:rPr>
        <w:t>udolente nei servizi on line.</w:t>
      </w:r>
    </w:p>
    <w:p w:rsidR="00C33155" w:rsidRDefault="00A14363" w:rsidP="00EE6686">
      <w:pPr>
        <w:jc w:val="both"/>
        <w:rPr>
          <w:rFonts w:ascii="Times New Roman" w:hAnsi="Times New Roman" w:cs="Times New Roman"/>
          <w:sz w:val="24"/>
          <w:szCs w:val="24"/>
        </w:rPr>
      </w:pPr>
      <w:r>
        <w:rPr>
          <w:rFonts w:ascii="Times New Roman" w:hAnsi="Times New Roman" w:cs="Times New Roman"/>
          <w:sz w:val="24"/>
          <w:szCs w:val="24"/>
        </w:rPr>
        <w:t>La regola gen</w:t>
      </w:r>
      <w:r w:rsidR="008E3719">
        <w:rPr>
          <w:rFonts w:ascii="Times New Roman" w:hAnsi="Times New Roman" w:cs="Times New Roman"/>
          <w:sz w:val="24"/>
          <w:szCs w:val="24"/>
        </w:rPr>
        <w:t>e</w:t>
      </w:r>
      <w:r>
        <w:rPr>
          <w:rFonts w:ascii="Times New Roman" w:hAnsi="Times New Roman" w:cs="Times New Roman"/>
          <w:sz w:val="24"/>
          <w:szCs w:val="24"/>
        </w:rPr>
        <w:t xml:space="preserve">rale prevista dalla PSD 2  è che la </w:t>
      </w:r>
      <w:r w:rsidRPr="002639A6">
        <w:rPr>
          <w:rFonts w:ascii="Times New Roman" w:hAnsi="Times New Roman" w:cs="Times New Roman"/>
          <w:i/>
          <w:sz w:val="24"/>
          <w:szCs w:val="24"/>
        </w:rPr>
        <w:t xml:space="preserve">strong </w:t>
      </w:r>
      <w:proofErr w:type="spellStart"/>
      <w:r w:rsidRPr="002639A6">
        <w:rPr>
          <w:rFonts w:ascii="Times New Roman" w:hAnsi="Times New Roman" w:cs="Times New Roman"/>
          <w:i/>
          <w:sz w:val="24"/>
          <w:szCs w:val="24"/>
        </w:rPr>
        <w:t>customer</w:t>
      </w:r>
      <w:proofErr w:type="spellEnd"/>
      <w:r w:rsidRPr="002639A6">
        <w:rPr>
          <w:rFonts w:ascii="Times New Roman" w:hAnsi="Times New Roman" w:cs="Times New Roman"/>
          <w:i/>
          <w:sz w:val="24"/>
          <w:szCs w:val="24"/>
        </w:rPr>
        <w:t xml:space="preserve"> </w:t>
      </w:r>
      <w:proofErr w:type="spellStart"/>
      <w:r w:rsidRPr="002639A6">
        <w:rPr>
          <w:rFonts w:ascii="Times New Roman" w:hAnsi="Times New Roman" w:cs="Times New Roman"/>
          <w:i/>
          <w:sz w:val="24"/>
          <w:szCs w:val="24"/>
        </w:rPr>
        <w:t>authentication</w:t>
      </w:r>
      <w:proofErr w:type="spellEnd"/>
      <w:r>
        <w:rPr>
          <w:rFonts w:ascii="Times New Roman" w:hAnsi="Times New Roman" w:cs="Times New Roman"/>
          <w:sz w:val="24"/>
          <w:szCs w:val="24"/>
        </w:rPr>
        <w:t xml:space="preserve"> sia obbligatoria in tutti i casi in cui il cliente acceda al suo conto di pagamento online; quando dispone un’operazione di </w:t>
      </w:r>
      <w:r w:rsidR="00A4234C">
        <w:rPr>
          <w:rFonts w:ascii="Times New Roman" w:hAnsi="Times New Roman" w:cs="Times New Roman"/>
          <w:sz w:val="24"/>
          <w:szCs w:val="24"/>
        </w:rPr>
        <w:t>pagamento</w:t>
      </w:r>
      <w:r>
        <w:rPr>
          <w:rFonts w:ascii="Times New Roman" w:hAnsi="Times New Roman" w:cs="Times New Roman"/>
          <w:sz w:val="24"/>
          <w:szCs w:val="24"/>
        </w:rPr>
        <w:t xml:space="preserve"> elettronico; quando effettua una qualunque operazione, tramite un canale a distanza, che possa comportare un rischio di frode nei pagamenti o abusi. Le </w:t>
      </w:r>
      <w:r w:rsidR="00486793">
        <w:rPr>
          <w:rFonts w:ascii="Times New Roman" w:hAnsi="Times New Roman" w:cs="Times New Roman"/>
          <w:sz w:val="24"/>
          <w:szCs w:val="24"/>
        </w:rPr>
        <w:t>statuizioni</w:t>
      </w:r>
      <w:r>
        <w:rPr>
          <w:rFonts w:ascii="Times New Roman" w:hAnsi="Times New Roman" w:cs="Times New Roman"/>
          <w:sz w:val="24"/>
          <w:szCs w:val="24"/>
        </w:rPr>
        <w:t xml:space="preserve"> immediate </w:t>
      </w:r>
      <w:r w:rsidR="00486793">
        <w:rPr>
          <w:rFonts w:ascii="Times New Roman" w:hAnsi="Times New Roman" w:cs="Times New Roman"/>
          <w:sz w:val="24"/>
          <w:szCs w:val="24"/>
        </w:rPr>
        <w:t xml:space="preserve">derivanti da tale disciplina si sono avute nell’introduzione del comma 2 - </w:t>
      </w:r>
      <w:r w:rsidR="00486793">
        <w:rPr>
          <w:rFonts w:ascii="Times New Roman" w:hAnsi="Times New Roman" w:cs="Times New Roman"/>
          <w:i/>
          <w:sz w:val="24"/>
          <w:szCs w:val="24"/>
        </w:rPr>
        <w:t>bis</w:t>
      </w:r>
      <w:r w:rsidR="00486793">
        <w:rPr>
          <w:rFonts w:ascii="Times New Roman" w:hAnsi="Times New Roman" w:cs="Times New Roman"/>
          <w:sz w:val="24"/>
          <w:szCs w:val="24"/>
        </w:rPr>
        <w:t xml:space="preserve"> all’art. 12 de d.lgs. n. 11/2010, come modificato dal d.lgs. 218/2017</w:t>
      </w:r>
      <w:r w:rsidR="005E38FB">
        <w:rPr>
          <w:rFonts w:ascii="Times New Roman" w:hAnsi="Times New Roman" w:cs="Times New Roman"/>
          <w:sz w:val="24"/>
          <w:szCs w:val="24"/>
        </w:rPr>
        <w:t>, di attuazione della nuova direttiva. Tale comma espressamente stabilisce che: “</w:t>
      </w:r>
      <w:r w:rsidR="005E38FB" w:rsidRPr="005E38FB">
        <w:rPr>
          <w:rFonts w:ascii="Times New Roman" w:hAnsi="Times New Roman" w:cs="Times New Roman"/>
          <w:i/>
          <w:sz w:val="24"/>
          <w:szCs w:val="24"/>
        </w:rPr>
        <w:t>Salvo il caso in cui abbia agito in modo fraudolento, il pagatore non sopporta alcuna perdita se il prestatore di servizi di pagamento non esige un'autenticazione forte del cliente. Il beneficiario o il prestatore di servizi di pagamento del beneficiario rimborsano il danno finanziario causato al prestatore di servizi di pagamento del pagatore se non accettano l'autenticazione forte del cliente</w:t>
      </w:r>
      <w:r w:rsidR="005E38FB">
        <w:rPr>
          <w:rFonts w:ascii="Times New Roman" w:hAnsi="Times New Roman" w:cs="Times New Roman"/>
          <w:sz w:val="24"/>
          <w:szCs w:val="24"/>
        </w:rPr>
        <w:t xml:space="preserve">”. Il legislatore nazionale, quindi, ha voluto tutelare in maniera adeguata il cliente del prestatore del servizio di pagamento nell’eventualità in cui il prestatore del </w:t>
      </w:r>
      <w:r w:rsidR="005E38FB">
        <w:rPr>
          <w:rFonts w:ascii="Times New Roman" w:hAnsi="Times New Roman" w:cs="Times New Roman"/>
          <w:sz w:val="24"/>
          <w:szCs w:val="24"/>
        </w:rPr>
        <w:lastRenderedPageBreak/>
        <w:t xml:space="preserve">servizio non </w:t>
      </w:r>
      <w:r w:rsidR="00EE6686">
        <w:rPr>
          <w:rFonts w:ascii="Times New Roman" w:hAnsi="Times New Roman" w:cs="Times New Roman"/>
          <w:sz w:val="24"/>
          <w:szCs w:val="24"/>
        </w:rPr>
        <w:t>sia stato</w:t>
      </w:r>
      <w:r w:rsidR="005E38FB">
        <w:rPr>
          <w:rFonts w:ascii="Times New Roman" w:hAnsi="Times New Roman" w:cs="Times New Roman"/>
          <w:sz w:val="24"/>
          <w:szCs w:val="24"/>
        </w:rPr>
        <w:t xml:space="preserve"> in grado </w:t>
      </w:r>
      <w:r w:rsidR="007814AC">
        <w:rPr>
          <w:rFonts w:ascii="Times New Roman" w:hAnsi="Times New Roman" w:cs="Times New Roman"/>
          <w:sz w:val="24"/>
          <w:szCs w:val="24"/>
        </w:rPr>
        <w:t xml:space="preserve">di proteggere il </w:t>
      </w:r>
      <w:r w:rsidR="00EE6686">
        <w:rPr>
          <w:rFonts w:ascii="Times New Roman" w:hAnsi="Times New Roman" w:cs="Times New Roman"/>
          <w:sz w:val="24"/>
          <w:szCs w:val="24"/>
        </w:rPr>
        <w:t xml:space="preserve"> conto di pagamento </w:t>
      </w:r>
      <w:r w:rsidR="007814AC">
        <w:rPr>
          <w:rFonts w:ascii="Times New Roman" w:hAnsi="Times New Roman" w:cs="Times New Roman"/>
          <w:sz w:val="24"/>
          <w:szCs w:val="24"/>
        </w:rPr>
        <w:t xml:space="preserve">di questi </w:t>
      </w:r>
      <w:r w:rsidR="00EE6686">
        <w:rPr>
          <w:rFonts w:ascii="Times New Roman" w:hAnsi="Times New Roman" w:cs="Times New Roman"/>
          <w:sz w:val="24"/>
          <w:szCs w:val="24"/>
        </w:rPr>
        <w:t>e, più in general</w:t>
      </w:r>
      <w:r w:rsidR="00B93DE7">
        <w:rPr>
          <w:rFonts w:ascii="Times New Roman" w:hAnsi="Times New Roman" w:cs="Times New Roman"/>
          <w:sz w:val="24"/>
          <w:szCs w:val="24"/>
        </w:rPr>
        <w:t>e</w:t>
      </w:r>
      <w:r w:rsidR="00EE6686">
        <w:rPr>
          <w:rFonts w:ascii="Times New Roman" w:hAnsi="Times New Roman" w:cs="Times New Roman"/>
          <w:sz w:val="24"/>
          <w:szCs w:val="24"/>
        </w:rPr>
        <w:t>, le sue informazioni personali dagli accessi fraudolenti.</w:t>
      </w:r>
    </w:p>
    <w:p w:rsidR="00C33155" w:rsidRDefault="00C42C68" w:rsidP="00EE6686">
      <w:pPr>
        <w:jc w:val="both"/>
        <w:rPr>
          <w:rFonts w:ascii="Times New Roman" w:hAnsi="Times New Roman" w:cs="Times New Roman"/>
          <w:sz w:val="24"/>
          <w:szCs w:val="24"/>
        </w:rPr>
      </w:pPr>
      <w:r>
        <w:rPr>
          <w:rFonts w:ascii="Times New Roman" w:hAnsi="Times New Roman" w:cs="Times New Roman"/>
          <w:sz w:val="24"/>
          <w:szCs w:val="24"/>
        </w:rPr>
        <w:t xml:space="preserve">A conforto della difficoltà di percepire il valore del nuovo </w:t>
      </w:r>
      <w:r w:rsidR="007814AC">
        <w:rPr>
          <w:rFonts w:ascii="Times New Roman" w:hAnsi="Times New Roman" w:cs="Times New Roman"/>
          <w:sz w:val="24"/>
          <w:szCs w:val="24"/>
        </w:rPr>
        <w:t>disposto si può</w:t>
      </w:r>
      <w:r>
        <w:rPr>
          <w:rFonts w:ascii="Times New Roman" w:hAnsi="Times New Roman" w:cs="Times New Roman"/>
          <w:sz w:val="24"/>
          <w:szCs w:val="24"/>
        </w:rPr>
        <w:t xml:space="preserve"> menzionare </w:t>
      </w:r>
      <w:r w:rsidR="00C33155">
        <w:rPr>
          <w:rFonts w:ascii="Times New Roman" w:hAnsi="Times New Roman" w:cs="Times New Roman"/>
          <w:sz w:val="24"/>
          <w:szCs w:val="24"/>
        </w:rPr>
        <w:t>una recentissima decisione dell’ABF, Collegio di Bologna, n. 7393/2018</w:t>
      </w:r>
      <w:r w:rsidR="00B93DE7">
        <w:rPr>
          <w:rFonts w:ascii="Times New Roman" w:hAnsi="Times New Roman" w:cs="Times New Roman"/>
          <w:sz w:val="24"/>
          <w:szCs w:val="24"/>
        </w:rPr>
        <w:t xml:space="preserve">, </w:t>
      </w:r>
      <w:r>
        <w:rPr>
          <w:rFonts w:ascii="Times New Roman" w:hAnsi="Times New Roman" w:cs="Times New Roman"/>
          <w:sz w:val="24"/>
          <w:szCs w:val="24"/>
        </w:rPr>
        <w:t xml:space="preserve">che </w:t>
      </w:r>
      <w:r w:rsidR="00B93DE7">
        <w:rPr>
          <w:rFonts w:ascii="Times New Roman" w:hAnsi="Times New Roman" w:cs="Times New Roman"/>
          <w:sz w:val="24"/>
          <w:szCs w:val="24"/>
        </w:rPr>
        <w:t xml:space="preserve">si è posta in controtendenza sia con la più stringente regolamentazione proposta dal legislatore nazionale ed europeo, sia con il precedente orientamento dell’Arbitro Bancario Finanziario, sanzionando più </w:t>
      </w:r>
      <w:r w:rsidR="00BA0AF3">
        <w:rPr>
          <w:rFonts w:ascii="Times New Roman" w:hAnsi="Times New Roman" w:cs="Times New Roman"/>
          <w:sz w:val="24"/>
          <w:szCs w:val="24"/>
        </w:rPr>
        <w:t>severamente</w:t>
      </w:r>
      <w:r w:rsidR="00B93DE7">
        <w:rPr>
          <w:rFonts w:ascii="Times New Roman" w:hAnsi="Times New Roman" w:cs="Times New Roman"/>
          <w:sz w:val="24"/>
          <w:szCs w:val="24"/>
        </w:rPr>
        <w:t xml:space="preserve"> il </w:t>
      </w:r>
      <w:r w:rsidR="00BA0AF3">
        <w:rPr>
          <w:rFonts w:ascii="Times New Roman" w:hAnsi="Times New Roman" w:cs="Times New Roman"/>
          <w:sz w:val="24"/>
          <w:szCs w:val="24"/>
        </w:rPr>
        <w:t>cliente</w:t>
      </w:r>
      <w:r w:rsidR="00B93DE7">
        <w:rPr>
          <w:rFonts w:ascii="Times New Roman" w:hAnsi="Times New Roman" w:cs="Times New Roman"/>
          <w:sz w:val="24"/>
          <w:szCs w:val="24"/>
        </w:rPr>
        <w:t xml:space="preserve"> che fosse vittima, </w:t>
      </w:r>
      <w:r>
        <w:rPr>
          <w:rFonts w:ascii="Times New Roman" w:hAnsi="Times New Roman" w:cs="Times New Roman"/>
          <w:sz w:val="24"/>
          <w:szCs w:val="24"/>
        </w:rPr>
        <w:t xml:space="preserve">inconsapevole, </w:t>
      </w:r>
      <w:r w:rsidR="00B93DE7">
        <w:rPr>
          <w:rFonts w:ascii="Times New Roman" w:hAnsi="Times New Roman" w:cs="Times New Roman"/>
          <w:sz w:val="24"/>
          <w:szCs w:val="24"/>
        </w:rPr>
        <w:t xml:space="preserve">del noto fenomeno del </w:t>
      </w:r>
      <w:r w:rsidR="00B93DE7" w:rsidRPr="00B93DE7">
        <w:rPr>
          <w:rFonts w:ascii="Times New Roman" w:hAnsi="Times New Roman" w:cs="Times New Roman"/>
          <w:i/>
          <w:sz w:val="24"/>
          <w:szCs w:val="24"/>
        </w:rPr>
        <w:t>phishing</w:t>
      </w:r>
      <w:r>
        <w:rPr>
          <w:rFonts w:ascii="Times New Roman" w:hAnsi="Times New Roman" w:cs="Times New Roman"/>
          <w:sz w:val="24"/>
          <w:szCs w:val="24"/>
        </w:rPr>
        <w:t xml:space="preserve">:  </w:t>
      </w:r>
      <w:r w:rsidR="00B93DE7">
        <w:rPr>
          <w:rFonts w:ascii="Times New Roman" w:hAnsi="Times New Roman" w:cs="Times New Roman"/>
          <w:sz w:val="24"/>
          <w:szCs w:val="24"/>
        </w:rPr>
        <w:t xml:space="preserve">avendo </w:t>
      </w:r>
      <w:r w:rsidR="00BA0AF3">
        <w:rPr>
          <w:rFonts w:ascii="Times New Roman" w:hAnsi="Times New Roman" w:cs="Times New Roman"/>
          <w:sz w:val="24"/>
          <w:szCs w:val="24"/>
        </w:rPr>
        <w:t>inserito</w:t>
      </w:r>
      <w:r w:rsidR="00B93DE7">
        <w:rPr>
          <w:rFonts w:ascii="Times New Roman" w:hAnsi="Times New Roman" w:cs="Times New Roman"/>
          <w:sz w:val="24"/>
          <w:szCs w:val="24"/>
        </w:rPr>
        <w:t xml:space="preserve"> i propri dati personali </w:t>
      </w:r>
      <w:r>
        <w:rPr>
          <w:rFonts w:ascii="Times New Roman" w:hAnsi="Times New Roman" w:cs="Times New Roman"/>
          <w:sz w:val="24"/>
          <w:szCs w:val="24"/>
        </w:rPr>
        <w:t xml:space="preserve">in risposta  ad una mail inviata </w:t>
      </w:r>
      <w:r w:rsidR="00B93DE7">
        <w:rPr>
          <w:rFonts w:ascii="Times New Roman" w:hAnsi="Times New Roman" w:cs="Times New Roman"/>
          <w:sz w:val="24"/>
          <w:szCs w:val="24"/>
        </w:rPr>
        <w:t xml:space="preserve"> da </w:t>
      </w:r>
      <w:r>
        <w:rPr>
          <w:rFonts w:ascii="Times New Roman" w:hAnsi="Times New Roman" w:cs="Times New Roman"/>
          <w:sz w:val="24"/>
          <w:szCs w:val="24"/>
        </w:rPr>
        <w:t xml:space="preserve">un soggetto </w:t>
      </w:r>
      <w:r w:rsidR="00B93DE7">
        <w:rPr>
          <w:rFonts w:ascii="Times New Roman" w:hAnsi="Times New Roman" w:cs="Times New Roman"/>
          <w:sz w:val="24"/>
          <w:szCs w:val="24"/>
        </w:rPr>
        <w:t xml:space="preserve"> che artatamente fingeva di essere l’intermediario presso il quale era radicato il conto di pagamento.</w:t>
      </w:r>
      <w:r w:rsidR="007814AC">
        <w:rPr>
          <w:rFonts w:ascii="Times New Roman" w:hAnsi="Times New Roman" w:cs="Times New Roman"/>
          <w:sz w:val="24"/>
          <w:szCs w:val="24"/>
        </w:rPr>
        <w:t xml:space="preserve"> In </w:t>
      </w:r>
      <w:proofErr w:type="spellStart"/>
      <w:r w:rsidR="007814AC">
        <w:rPr>
          <w:rFonts w:ascii="Times New Roman" w:hAnsi="Times New Roman" w:cs="Times New Roman"/>
          <w:sz w:val="24"/>
          <w:szCs w:val="24"/>
        </w:rPr>
        <w:t>taleo</w:t>
      </w:r>
      <w:proofErr w:type="spellEnd"/>
      <w:r w:rsidR="00BA0AF3">
        <w:rPr>
          <w:rFonts w:ascii="Times New Roman" w:hAnsi="Times New Roman" w:cs="Times New Roman"/>
          <w:sz w:val="24"/>
          <w:szCs w:val="24"/>
        </w:rPr>
        <w:t xml:space="preserve"> casi il Collegio ha ritenuto di dover respin</w:t>
      </w:r>
      <w:r w:rsidR="007814AC">
        <w:rPr>
          <w:rFonts w:ascii="Times New Roman" w:hAnsi="Times New Roman" w:cs="Times New Roman"/>
          <w:sz w:val="24"/>
          <w:szCs w:val="24"/>
        </w:rPr>
        <w:t xml:space="preserve">gere il ricorso del pagatore, non  facendo buon conto detto dell’esplicito dettato </w:t>
      </w:r>
      <w:r w:rsidR="00BA0AF3">
        <w:rPr>
          <w:rFonts w:ascii="Times New Roman" w:hAnsi="Times New Roman" w:cs="Times New Roman"/>
          <w:sz w:val="24"/>
          <w:szCs w:val="24"/>
        </w:rPr>
        <w:t xml:space="preserve"> </w:t>
      </w:r>
      <w:r w:rsidR="007814AC">
        <w:rPr>
          <w:rFonts w:ascii="Times New Roman" w:hAnsi="Times New Roman" w:cs="Times New Roman"/>
          <w:sz w:val="24"/>
          <w:szCs w:val="24"/>
        </w:rPr>
        <w:t xml:space="preserve">della </w:t>
      </w:r>
      <w:r w:rsidR="00BA0AF3">
        <w:rPr>
          <w:rFonts w:ascii="Times New Roman" w:hAnsi="Times New Roman" w:cs="Times New Roman"/>
          <w:sz w:val="24"/>
          <w:szCs w:val="24"/>
        </w:rPr>
        <w:t xml:space="preserve">nuova direttiva </w:t>
      </w:r>
      <w:r w:rsidR="007814AC">
        <w:rPr>
          <w:rFonts w:ascii="Times New Roman" w:hAnsi="Times New Roman" w:cs="Times New Roman"/>
          <w:sz w:val="24"/>
          <w:szCs w:val="24"/>
        </w:rPr>
        <w:t xml:space="preserve">che ritiene responsabile </w:t>
      </w:r>
      <w:r w:rsidR="00BA0AF3">
        <w:rPr>
          <w:rFonts w:ascii="Times New Roman" w:hAnsi="Times New Roman" w:cs="Times New Roman"/>
          <w:sz w:val="24"/>
          <w:szCs w:val="24"/>
        </w:rPr>
        <w:t xml:space="preserve"> il client</w:t>
      </w:r>
      <w:r w:rsidR="007814AC">
        <w:rPr>
          <w:rFonts w:ascii="Times New Roman" w:hAnsi="Times New Roman" w:cs="Times New Roman"/>
          <w:sz w:val="24"/>
          <w:szCs w:val="24"/>
        </w:rPr>
        <w:t xml:space="preserve">e dell’intermediario </w:t>
      </w:r>
      <w:r w:rsidR="00BA0AF3">
        <w:rPr>
          <w:rFonts w:ascii="Times New Roman" w:hAnsi="Times New Roman" w:cs="Times New Roman"/>
          <w:sz w:val="24"/>
          <w:szCs w:val="24"/>
        </w:rPr>
        <w:t xml:space="preserve"> soltanto in caso di colpa grave.</w:t>
      </w:r>
    </w:p>
    <w:p w:rsidR="00BA0AF3" w:rsidRPr="00B93DE7" w:rsidRDefault="00BA0AF3" w:rsidP="00EE6686">
      <w:pPr>
        <w:jc w:val="both"/>
        <w:rPr>
          <w:rFonts w:ascii="Times New Roman" w:hAnsi="Times New Roman" w:cs="Times New Roman"/>
          <w:sz w:val="24"/>
          <w:szCs w:val="24"/>
        </w:rPr>
      </w:pPr>
    </w:p>
    <w:p w:rsidR="00A14363" w:rsidRPr="000B693F" w:rsidRDefault="00BA0AF3" w:rsidP="002E1353">
      <w:pPr>
        <w:jc w:val="both"/>
        <w:rPr>
          <w:rFonts w:ascii="Times New Roman" w:hAnsi="Times New Roman" w:cs="Times New Roman"/>
          <w:b/>
          <w:sz w:val="24"/>
          <w:szCs w:val="24"/>
        </w:rPr>
      </w:pPr>
      <w:r w:rsidRPr="000B693F">
        <w:rPr>
          <w:rFonts w:ascii="Times New Roman" w:hAnsi="Times New Roman" w:cs="Times New Roman"/>
          <w:b/>
          <w:sz w:val="24"/>
          <w:szCs w:val="24"/>
        </w:rPr>
        <w:t>BIBLIOGRAFIA ESSENZIALE</w:t>
      </w:r>
    </w:p>
    <w:p w:rsidR="00BA0AF3" w:rsidRDefault="00BA0AF3" w:rsidP="002E1353">
      <w:pPr>
        <w:jc w:val="both"/>
        <w:rPr>
          <w:rFonts w:ascii="Times New Roman" w:hAnsi="Times New Roman" w:cs="Times New Roman"/>
          <w:sz w:val="24"/>
          <w:szCs w:val="24"/>
        </w:rPr>
      </w:pPr>
      <w:r w:rsidRPr="00BA0AF3">
        <w:rPr>
          <w:rFonts w:ascii="Times New Roman" w:hAnsi="Times New Roman" w:cs="Times New Roman"/>
          <w:sz w:val="24"/>
          <w:szCs w:val="24"/>
        </w:rPr>
        <w:t xml:space="preserve">DE MATTEIS A., </w:t>
      </w:r>
      <w:r w:rsidRPr="00BA0AF3">
        <w:rPr>
          <w:rFonts w:ascii="Times New Roman" w:hAnsi="Times New Roman" w:cs="Times New Roman"/>
          <w:i/>
          <w:sz w:val="24"/>
          <w:szCs w:val="24"/>
        </w:rPr>
        <w:t xml:space="preserve">La strong </w:t>
      </w:r>
      <w:proofErr w:type="spellStart"/>
      <w:r w:rsidRPr="00BA0AF3">
        <w:rPr>
          <w:rFonts w:ascii="Times New Roman" w:hAnsi="Times New Roman" w:cs="Times New Roman"/>
          <w:i/>
          <w:sz w:val="24"/>
          <w:szCs w:val="24"/>
        </w:rPr>
        <w:t>customer</w:t>
      </w:r>
      <w:proofErr w:type="spellEnd"/>
      <w:r w:rsidRPr="00BA0AF3">
        <w:rPr>
          <w:rFonts w:ascii="Times New Roman" w:hAnsi="Times New Roman" w:cs="Times New Roman"/>
          <w:i/>
          <w:sz w:val="24"/>
          <w:szCs w:val="24"/>
        </w:rPr>
        <w:t xml:space="preserve"> </w:t>
      </w:r>
      <w:proofErr w:type="spellStart"/>
      <w:r w:rsidRPr="00BA0AF3">
        <w:rPr>
          <w:rFonts w:ascii="Times New Roman" w:hAnsi="Times New Roman" w:cs="Times New Roman"/>
          <w:i/>
          <w:sz w:val="24"/>
          <w:szCs w:val="24"/>
        </w:rPr>
        <w:t>authentication</w:t>
      </w:r>
      <w:proofErr w:type="spellEnd"/>
      <w:r w:rsidRPr="00BA0AF3">
        <w:rPr>
          <w:rFonts w:ascii="Times New Roman" w:hAnsi="Times New Roman" w:cs="Times New Roman"/>
          <w:sz w:val="24"/>
          <w:szCs w:val="24"/>
        </w:rPr>
        <w:t xml:space="preserve">, in </w:t>
      </w:r>
      <w:r w:rsidRPr="00BA0AF3">
        <w:rPr>
          <w:rFonts w:ascii="Times New Roman" w:hAnsi="Times New Roman" w:cs="Times New Roman"/>
          <w:i/>
          <w:sz w:val="24"/>
          <w:szCs w:val="24"/>
        </w:rPr>
        <w:t>Atti del convegno Recepimento PSD2 e novità sui servizi di pagamento. Decreto Legislativo 15 dicembre 2017 n. 218 (G.U. n. 10 del 13 gennaio 2018)</w:t>
      </w:r>
      <w:r w:rsidRPr="00BA0AF3">
        <w:rPr>
          <w:rFonts w:ascii="Times New Roman" w:hAnsi="Times New Roman" w:cs="Times New Roman"/>
          <w:sz w:val="24"/>
          <w:szCs w:val="24"/>
        </w:rPr>
        <w:t>, Milano, 28 marzo 2018.</w:t>
      </w:r>
    </w:p>
    <w:p w:rsidR="00BA0AF3" w:rsidRDefault="00BA0AF3" w:rsidP="002E1353">
      <w:pPr>
        <w:jc w:val="both"/>
        <w:rPr>
          <w:rFonts w:ascii="Times New Roman" w:hAnsi="Times New Roman" w:cs="Times New Roman"/>
          <w:sz w:val="24"/>
          <w:szCs w:val="24"/>
        </w:rPr>
      </w:pPr>
      <w:r w:rsidRPr="00BA0AF3">
        <w:rPr>
          <w:rFonts w:ascii="Times New Roman" w:hAnsi="Times New Roman" w:cs="Times New Roman"/>
          <w:sz w:val="24"/>
          <w:szCs w:val="24"/>
        </w:rPr>
        <w:t xml:space="preserve">CASCINELLI F. - PISTONI V. - ZANETTI G., </w:t>
      </w:r>
      <w:r w:rsidRPr="00BA0AF3">
        <w:rPr>
          <w:rFonts w:ascii="Times New Roman" w:hAnsi="Times New Roman" w:cs="Times New Roman"/>
          <w:i/>
          <w:sz w:val="24"/>
          <w:szCs w:val="24"/>
        </w:rPr>
        <w:t>La Direttiva (UE) 2015/2366 relativa ai servizi di pagamento nel mercato interno</w:t>
      </w:r>
      <w:r w:rsidRPr="00BA0AF3">
        <w:rPr>
          <w:rFonts w:ascii="Times New Roman" w:hAnsi="Times New Roman" w:cs="Times New Roman"/>
          <w:sz w:val="24"/>
          <w:szCs w:val="24"/>
        </w:rPr>
        <w:t xml:space="preserve">, in </w:t>
      </w:r>
      <w:r w:rsidRPr="00BA0AF3">
        <w:rPr>
          <w:rFonts w:ascii="Times New Roman" w:hAnsi="Times New Roman" w:cs="Times New Roman"/>
          <w:i/>
          <w:sz w:val="24"/>
          <w:szCs w:val="24"/>
        </w:rPr>
        <w:t>dirittobancario.it</w:t>
      </w:r>
      <w:r w:rsidRPr="00BA0AF3">
        <w:rPr>
          <w:rFonts w:ascii="Times New Roman" w:hAnsi="Times New Roman" w:cs="Times New Roman"/>
          <w:sz w:val="24"/>
          <w:szCs w:val="24"/>
        </w:rPr>
        <w:t>,</w:t>
      </w:r>
      <w:r>
        <w:rPr>
          <w:rFonts w:ascii="Times New Roman" w:hAnsi="Times New Roman" w:cs="Times New Roman"/>
          <w:sz w:val="24"/>
          <w:szCs w:val="24"/>
        </w:rPr>
        <w:t xml:space="preserve"> 2016.</w:t>
      </w:r>
    </w:p>
    <w:p w:rsidR="000B693F" w:rsidRPr="000B693F" w:rsidRDefault="000B693F" w:rsidP="000B693F">
      <w:pPr>
        <w:jc w:val="both"/>
        <w:rPr>
          <w:rFonts w:ascii="Times New Roman" w:hAnsi="Times New Roman" w:cs="Times New Roman"/>
          <w:sz w:val="24"/>
          <w:szCs w:val="24"/>
        </w:rPr>
      </w:pPr>
      <w:r>
        <w:rPr>
          <w:rFonts w:ascii="Times New Roman" w:hAnsi="Times New Roman" w:cs="Times New Roman"/>
          <w:sz w:val="24"/>
          <w:szCs w:val="24"/>
        </w:rPr>
        <w:t xml:space="preserve">RISPOLI FARINA M., </w:t>
      </w:r>
      <w:r w:rsidRPr="000B693F">
        <w:rPr>
          <w:rFonts w:ascii="Times New Roman" w:hAnsi="Times New Roman" w:cs="Times New Roman"/>
          <w:i/>
          <w:sz w:val="24"/>
          <w:szCs w:val="24"/>
        </w:rPr>
        <w:t>Responsabilità degli intermediari bancari e finanziari e sistemi di internet banking: aggressione informatica e protezione del cliente</w:t>
      </w:r>
      <w:r>
        <w:rPr>
          <w:rFonts w:ascii="Times New Roman" w:hAnsi="Times New Roman" w:cs="Times New Roman"/>
          <w:sz w:val="24"/>
          <w:szCs w:val="24"/>
        </w:rPr>
        <w:t xml:space="preserve">, in </w:t>
      </w:r>
      <w:r w:rsidRPr="000B693F">
        <w:rPr>
          <w:rFonts w:ascii="Times New Roman" w:hAnsi="Times New Roman" w:cs="Times New Roman"/>
          <w:i/>
          <w:sz w:val="24"/>
          <w:szCs w:val="24"/>
        </w:rPr>
        <w:t>Innovazione e Diritto</w:t>
      </w:r>
      <w:r>
        <w:rPr>
          <w:rFonts w:ascii="Times New Roman" w:hAnsi="Times New Roman" w:cs="Times New Roman"/>
          <w:sz w:val="24"/>
          <w:szCs w:val="24"/>
        </w:rPr>
        <w:t>, 6, 2014.</w:t>
      </w:r>
    </w:p>
    <w:p w:rsidR="00BA0AF3" w:rsidRPr="002639A6" w:rsidRDefault="00BA0AF3" w:rsidP="000B693F">
      <w:pPr>
        <w:jc w:val="both"/>
        <w:rPr>
          <w:rFonts w:ascii="Times New Roman" w:hAnsi="Times New Roman" w:cs="Times New Roman"/>
          <w:sz w:val="24"/>
          <w:szCs w:val="24"/>
        </w:rPr>
      </w:pPr>
    </w:p>
    <w:sectPr w:rsidR="00BA0AF3" w:rsidRPr="002639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F1"/>
    <w:rsid w:val="000B693F"/>
    <w:rsid w:val="002639A6"/>
    <w:rsid w:val="00276DF1"/>
    <w:rsid w:val="00296575"/>
    <w:rsid w:val="002E1353"/>
    <w:rsid w:val="00486793"/>
    <w:rsid w:val="004E7893"/>
    <w:rsid w:val="005338E8"/>
    <w:rsid w:val="005E38FB"/>
    <w:rsid w:val="00715B2A"/>
    <w:rsid w:val="007814AC"/>
    <w:rsid w:val="0086507C"/>
    <w:rsid w:val="008E3719"/>
    <w:rsid w:val="00912E21"/>
    <w:rsid w:val="009A4637"/>
    <w:rsid w:val="00A14363"/>
    <w:rsid w:val="00A4234C"/>
    <w:rsid w:val="00A514E8"/>
    <w:rsid w:val="00A7605D"/>
    <w:rsid w:val="00A948EB"/>
    <w:rsid w:val="00B93DE7"/>
    <w:rsid w:val="00BA0AF3"/>
    <w:rsid w:val="00C33155"/>
    <w:rsid w:val="00C42C68"/>
    <w:rsid w:val="00DE7599"/>
    <w:rsid w:val="00EE6686"/>
    <w:rsid w:val="00F92911"/>
    <w:rsid w:val="00FC37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948EB"/>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948E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Marilena Rispoli Farina</cp:lastModifiedBy>
  <cp:revision>2</cp:revision>
  <dcterms:created xsi:type="dcterms:W3CDTF">2018-10-19T21:56:00Z</dcterms:created>
  <dcterms:modified xsi:type="dcterms:W3CDTF">2018-10-19T21:56:00Z</dcterms:modified>
</cp:coreProperties>
</file>