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3333C" w14:textId="47782424" w:rsidR="00CC6E33" w:rsidRPr="00963945" w:rsidRDefault="00CC6E33" w:rsidP="00676871">
      <w:pPr>
        <w:pStyle w:val="DicituraCapitolo"/>
      </w:pPr>
      <w:bookmarkStart w:id="0" w:name="OLE_LINK3"/>
      <w:bookmarkStart w:id="1" w:name="OLE_LINK4"/>
      <w:r w:rsidRPr="00153074">
        <w:t>Capitolo</w:t>
      </w:r>
      <w:r>
        <w:t xml:space="preserve"> </w:t>
      </w:r>
      <w:r w:rsidR="00D61682">
        <w:t>S</w:t>
      </w:r>
      <w:r>
        <w:t>econdo</w:t>
      </w:r>
    </w:p>
    <w:p w14:paraId="0A32840B" w14:textId="40E811E0" w:rsidR="00CC6E33" w:rsidRPr="00963945" w:rsidRDefault="00CC6E33" w:rsidP="00676871">
      <w:pPr>
        <w:pStyle w:val="TitolodelCapitolo"/>
      </w:pPr>
      <w:r w:rsidRPr="00213335">
        <w:t>Il sistema giurisdizionale</w:t>
      </w:r>
      <w:r w:rsidR="00DF624F">
        <w:t xml:space="preserve"> </w:t>
      </w:r>
      <w:r w:rsidR="00DF624F">
        <w:br/>
      </w:r>
      <w:r w:rsidRPr="00213335">
        <w:t>dell</w:t>
      </w:r>
      <w:r w:rsidR="00D04C06">
        <w:t>’</w:t>
      </w:r>
      <w:r w:rsidRPr="00213335">
        <w:t>Unione europea</w:t>
      </w:r>
    </w:p>
    <w:p w14:paraId="57F40049" w14:textId="66302F0B" w:rsidR="00CC6E33" w:rsidRPr="00853B2F" w:rsidRDefault="00D61682" w:rsidP="00676871">
      <w:pPr>
        <w:pStyle w:val="Autore"/>
      </w:pPr>
      <w:r>
        <w:rPr>
          <w:i w:val="0"/>
        </w:rPr>
        <w:t xml:space="preserve">di </w:t>
      </w:r>
      <w:r w:rsidR="00CC6E33" w:rsidRPr="00853B2F">
        <w:t>Roberto Mastroianni</w:t>
      </w:r>
      <w:r w:rsidR="00CC6E33" w:rsidRPr="00DF7FFD">
        <w:rPr>
          <w:rStyle w:val="Rimandonotaapidipagina"/>
          <w:i w:val="0"/>
          <w:iCs/>
        </w:rPr>
        <w:footnoteReference w:customMarkFollows="1" w:id="2"/>
        <w:t>*</w:t>
      </w:r>
    </w:p>
    <w:p w14:paraId="12DF5D66" w14:textId="536753CA" w:rsidR="00CC6E33" w:rsidRPr="00963945" w:rsidRDefault="00CC6E33" w:rsidP="00676871">
      <w:pPr>
        <w:pStyle w:val="Sommario"/>
      </w:pPr>
      <w:r w:rsidRPr="00D61682">
        <w:rPr>
          <w:rStyle w:val="Sommario-dicitura"/>
        </w:rPr>
        <w:t>Sommario</w:t>
      </w:r>
      <w:r w:rsidRPr="005E12EB">
        <w:rPr>
          <w:smallCaps/>
        </w:rPr>
        <w:t>:</w:t>
      </w:r>
      <w:r w:rsidRPr="005E12EB">
        <w:t xml:space="preserve"> </w:t>
      </w:r>
      <w:r w:rsidRPr="00213335">
        <w:t>1. Introduzione: un sistema completo di controllo giurisdizionale (con alcune eccezioni). – 2. Le fonti del diritto processuale dell</w:t>
      </w:r>
      <w:r w:rsidR="00D04C06">
        <w:t>’</w:t>
      </w:r>
      <w:r w:rsidRPr="00213335">
        <w:t>Unione europea. – 3. I confini della giurisdizione del giudice dell</w:t>
      </w:r>
      <w:r w:rsidR="00D04C06">
        <w:t>’</w:t>
      </w:r>
      <w:r w:rsidRPr="00213335">
        <w:t>Unione: il rapporto con i giudici nazionali e la ripartizione di competenze “interne”</w:t>
      </w:r>
      <w:r w:rsidRPr="00642C3F">
        <w:t xml:space="preserve"> tra le corti europee</w:t>
      </w:r>
      <w:r>
        <w:t>.</w:t>
      </w:r>
      <w:r w:rsidRPr="00213335">
        <w:t xml:space="preserve"> – 4. La Corte di giustizia e il suo ruolo determinante per l</w:t>
      </w:r>
      <w:r w:rsidR="00D04C06">
        <w:t>’</w:t>
      </w:r>
      <w:r w:rsidRPr="00213335">
        <w:t>integrazione europea attraverso il diritto. – 4.1. (Segue): composizione, funzionamento e competenze. – 5. Il Tribunale. – 6. I tribunali specializzati. – 7. L</w:t>
      </w:r>
      <w:r w:rsidR="00D04C06">
        <w:t>’</w:t>
      </w:r>
      <w:r w:rsidRPr="00213335">
        <w:t>avvo</w:t>
      </w:r>
      <w:r w:rsidR="00DF624F">
        <w:softHyphen/>
      </w:r>
      <w:r w:rsidRPr="00213335">
        <w:t>cato generale. – 8. Il cancelliere e gli organi ausiliari.</w:t>
      </w:r>
    </w:p>
    <w:p w14:paraId="3957D196" w14:textId="763CB439" w:rsidR="00CC6E33" w:rsidRPr="00963945" w:rsidRDefault="00D61682" w:rsidP="00676871">
      <w:pPr>
        <w:pStyle w:val="Paragrafo"/>
        <w:rPr>
          <w:szCs w:val="24"/>
        </w:rPr>
      </w:pPr>
      <w:r>
        <w:t xml:space="preserve">1. </w:t>
      </w:r>
      <w:r w:rsidR="00CC6E33" w:rsidRPr="00213335">
        <w:t>Introduzione: un sistema completo di controllo giurisdizionale (con alcune eccezioni)</w:t>
      </w:r>
    </w:p>
    <w:p w14:paraId="1868402F" w14:textId="12DE812D" w:rsidR="00D04C06" w:rsidRPr="00067EB0" w:rsidRDefault="00CC6E33" w:rsidP="00067EB0">
      <w:pPr>
        <w:pStyle w:val="Capoverso"/>
      </w:pPr>
      <w:r w:rsidRPr="00067EB0">
        <w:t>Una delle caratteristiche più rilevanti e caratterizzanti dell</w:t>
      </w:r>
      <w:r w:rsidR="00D04C06" w:rsidRPr="00067EB0">
        <w:t>’</w:t>
      </w:r>
      <w:r w:rsidRPr="00067EB0">
        <w:t>ordinamento giuridico dell</w:t>
      </w:r>
      <w:r w:rsidR="00D04C06" w:rsidRPr="00067EB0">
        <w:t>’</w:t>
      </w:r>
      <w:r w:rsidRPr="00067EB0">
        <w:t>Unione europea è rappresentata da un efficace ed originale sistema di tutela giurisdizionale, all</w:t>
      </w:r>
      <w:r w:rsidR="00D04C06" w:rsidRPr="00067EB0">
        <w:t>’</w:t>
      </w:r>
      <w:r w:rsidRPr="00067EB0">
        <w:t>interno del quale emerge la funzione decisiva assunta dalla Corte di giustizia dell</w:t>
      </w:r>
      <w:r w:rsidR="00D04C06" w:rsidRPr="00067EB0">
        <w:t>’</w:t>
      </w:r>
      <w:r w:rsidRPr="00067EB0">
        <w:t>Unione europea (CGUE) nella costruzione ed evoluzione dell</w:t>
      </w:r>
      <w:r w:rsidR="00D04C06" w:rsidRPr="00067EB0">
        <w:t>’</w:t>
      </w:r>
      <w:r w:rsidRPr="00067EB0">
        <w:t>ordinamento stesso. Tale sistema contribuisce in modo determinante a fare dell</w:t>
      </w:r>
      <w:r w:rsidR="00D04C06" w:rsidRPr="00067EB0">
        <w:t>’</w:t>
      </w:r>
      <w:r w:rsidRPr="00067EB0">
        <w:t>UE una «Unione di diritto», con tale espressione intendendosi che, in linea di principio, né gli Stati membri né le istituzioni dell</w:t>
      </w:r>
      <w:r w:rsidR="00D04C06" w:rsidRPr="00067EB0">
        <w:t>’</w:t>
      </w:r>
      <w:r w:rsidRPr="00067EB0">
        <w:t>Unione sono sottratti al controllo della conformità dei loro comportamenti alla carta costituzionale fondamentale costituita dai trattati istitutivi, avendo questi ultimi dato vita a un sistema completo ed effettivo di tutela giurisdizionale</w:t>
      </w:r>
      <w:r w:rsidR="00557599" w:rsidRPr="00557599">
        <w:rPr>
          <w:rStyle w:val="Rimandonotaapidipagina"/>
        </w:rPr>
        <w:t> </w:t>
      </w:r>
      <w:r w:rsidR="00557599" w:rsidRPr="00557599">
        <w:rPr>
          <w:rStyle w:val="Rimandonotaapidipagina"/>
        </w:rPr>
        <w:footnoteReference w:id="3"/>
      </w:r>
      <w:r w:rsidRPr="00067EB0">
        <w:t xml:space="preserve">. A tal riguardo, la Corte ha costantemente dichiarato che «[i]l </w:t>
      </w:r>
      <w:r w:rsidRPr="00067EB0">
        <w:lastRenderedPageBreak/>
        <w:t>sindacato giurisdizionale [...] costituisce espressione di un principio giuridico generale su cui sono basate le tradizioni costituzionali comuni agli Stati membri [e che] è stato del pari sancito dagli artt. 6 e 13 della [CEDU]»</w:t>
      </w:r>
      <w:r w:rsidR="00557599" w:rsidRPr="00557599">
        <w:rPr>
          <w:rStyle w:val="Rimandonotaapidipagina"/>
        </w:rPr>
        <w:t> </w:t>
      </w:r>
      <w:r w:rsidR="00557599" w:rsidRPr="00557599">
        <w:rPr>
          <w:rStyle w:val="Rimandonotaapidipagina"/>
        </w:rPr>
        <w:footnoteReference w:id="4"/>
      </w:r>
      <w:r w:rsidRPr="00067EB0">
        <w:t>. Ciò sta ad indicare che il principio della tutela giurisdizionale effettiva assume un ruolo determinante nel sistema delineato dai trattati e viene utilizzato dalla Corte al fine di interpretare, ed a volte persino di integrare in presenza di lacune, le disposizioni convenzionali. A seguito del</w:t>
      </w:r>
      <w:r w:rsidR="00DF624F">
        <w:softHyphen/>
      </w:r>
      <w:r w:rsidRPr="00067EB0">
        <w:t>l</w:t>
      </w:r>
      <w:r w:rsidR="00D04C06" w:rsidRPr="00067EB0">
        <w:t>’</w:t>
      </w:r>
      <w:r w:rsidRPr="00067EB0">
        <w:t>en</w:t>
      </w:r>
      <w:r w:rsidR="00DF624F">
        <w:softHyphen/>
      </w:r>
      <w:r w:rsidRPr="00067EB0">
        <w:t>trata in vigore del Tr</w:t>
      </w:r>
      <w:r w:rsidR="00F756EB">
        <w:t xml:space="preserve">attato </w:t>
      </w:r>
      <w:r w:rsidRPr="00067EB0">
        <w:t xml:space="preserve">di Lisbona e quindi della </w:t>
      </w:r>
      <w:r w:rsidR="00D074B7">
        <w:t>CDFUE</w:t>
      </w:r>
      <w:r w:rsidRPr="00067EB0">
        <w:t xml:space="preserve"> come fonte equiparata ai trattati (art. 6, par. 1, TUE), la Corte ha fatto leva sugli artt. 2 e 19 TUE e dell</w:t>
      </w:r>
      <w:r w:rsidR="00D04C06" w:rsidRPr="00067EB0">
        <w:t>’</w:t>
      </w:r>
      <w:r w:rsidRPr="00067EB0">
        <w:t xml:space="preserve">art. 47 </w:t>
      </w:r>
      <w:r w:rsidR="00D074B7">
        <w:t xml:space="preserve">CDFUE </w:t>
      </w:r>
      <w:r w:rsidRPr="00067EB0">
        <w:t>per attribuire a questo principio un più solido ancoraggio nelle regole di diritto primario dell</w:t>
      </w:r>
      <w:r w:rsidR="00D04C06" w:rsidRPr="00067EB0">
        <w:t>’</w:t>
      </w:r>
      <w:r w:rsidRPr="00067EB0">
        <w:t>Unione, come pilastro fondamentale dello stato di diritto (</w:t>
      </w:r>
      <w:r w:rsidRPr="00853B2F">
        <w:rPr>
          <w:i/>
        </w:rPr>
        <w:t xml:space="preserve">rule of </w:t>
      </w:r>
      <w:proofErr w:type="spellStart"/>
      <w:r w:rsidRPr="00853B2F">
        <w:rPr>
          <w:i/>
        </w:rPr>
        <w:t>law</w:t>
      </w:r>
      <w:proofErr w:type="spellEnd"/>
      <w:r w:rsidRPr="00067EB0">
        <w:t>)</w:t>
      </w:r>
      <w:r w:rsidR="00557599" w:rsidRPr="00557599">
        <w:rPr>
          <w:rStyle w:val="Rimandonotaapidipagina"/>
        </w:rPr>
        <w:t> </w:t>
      </w:r>
      <w:r w:rsidR="00557599" w:rsidRPr="00557599">
        <w:rPr>
          <w:rStyle w:val="Rimandonotaapidipagina"/>
        </w:rPr>
        <w:footnoteReference w:id="5"/>
      </w:r>
      <w:r w:rsidRPr="00067EB0">
        <w:t>.</w:t>
      </w:r>
    </w:p>
    <w:p w14:paraId="7D822440" w14:textId="76042765" w:rsidR="00CC6E33" w:rsidRPr="00067EB0" w:rsidRDefault="00CC6E33" w:rsidP="00067EB0">
      <w:pPr>
        <w:pStyle w:val="Capoverso"/>
      </w:pPr>
      <w:r w:rsidRPr="00067EB0">
        <w:t xml:space="preserve">Il sistema di controllo instaurato dai Trattati si presenta come </w:t>
      </w:r>
      <w:r w:rsidRPr="00853B2F">
        <w:rPr>
          <w:i/>
        </w:rPr>
        <w:t>incondizionato</w:t>
      </w:r>
      <w:r w:rsidRPr="00067EB0">
        <w:t xml:space="preserve"> perché ha carattere obbligatorio e non è sottoposto alla preventiva accettazione da parte degli Stati membri. Da questo punto di vista, le corti dell</w:t>
      </w:r>
      <w:r w:rsidR="00D04C06" w:rsidRPr="00067EB0">
        <w:t>’</w:t>
      </w:r>
      <w:r w:rsidRPr="00067EB0">
        <w:t>Unione si distinguono da altri organi giurisdizionali di origine sovranazionale, quale, ad esempio, la Corte internazionale di giustizia.</w:t>
      </w:r>
    </w:p>
    <w:p w14:paraId="04B59893" w14:textId="4D9075AB" w:rsidR="00CC6E33" w:rsidRPr="00067EB0" w:rsidRDefault="00CC6E33" w:rsidP="00067EB0">
      <w:pPr>
        <w:pStyle w:val="Capoverso"/>
      </w:pPr>
      <w:r w:rsidRPr="00067EB0">
        <w:t xml:space="preserve">Esso si presenta altresì come sistema </w:t>
      </w:r>
      <w:r w:rsidRPr="00853B2F">
        <w:rPr>
          <w:i/>
        </w:rPr>
        <w:t>completo</w:t>
      </w:r>
      <w:r w:rsidRPr="00067EB0">
        <w:t>, in quanto ad esso partecipano, come risulta dall</w:t>
      </w:r>
      <w:r w:rsidR="00D04C06" w:rsidRPr="00067EB0">
        <w:t>’</w:t>
      </w:r>
      <w:r w:rsidRPr="00067EB0">
        <w:t>art. 19 TUE, in modo coordinato i giudici dell</w:t>
      </w:r>
      <w:r w:rsidR="00D04C06" w:rsidRPr="00067EB0">
        <w:t>’</w:t>
      </w:r>
      <w:r w:rsidRPr="00067EB0">
        <w:t>Unione (la Corte di giustizia dell</w:t>
      </w:r>
      <w:r w:rsidR="00D04C06" w:rsidRPr="00067EB0">
        <w:t>’</w:t>
      </w:r>
      <w:r w:rsidRPr="00067EB0">
        <w:t>Unione europea, comprendente la Corte di giustizia, il Tribunale e i Tribunali specializzati) e quelli nazionali, ed al quale devono soggiacere, così come possono beneficiarne, non soltanto le istituzioni e gli Stati membri, ma anche e soprattutto le persone fisiche e giuridiche.</w:t>
      </w:r>
    </w:p>
    <w:p w14:paraId="45AAF37A" w14:textId="544D3CC1" w:rsidR="00CC6E33" w:rsidRPr="00067EB0" w:rsidRDefault="00CC6E33" w:rsidP="00067EB0">
      <w:pPr>
        <w:pStyle w:val="Capoverso"/>
      </w:pPr>
      <w:r w:rsidRPr="00067EB0">
        <w:t xml:space="preserve">La completezza del sistema si ricava dal fatto che esso fornisce, a tutela degli amministrati, delle istituzioni e degli Stati membri, un esauriente ed effettivo controllo di norme, atti e prassi, europee e nazionali, attraverso meccanismi giudiziari diretti (ricorso per annullamento, azione in carenza, dichiarazione incidentale di inapplicabilità, azione di danni da responsabilità extracontrattuale e contenzioso in materia di personale) ed indiretti (rinvio </w:t>
      </w:r>
      <w:r w:rsidRPr="00067EB0">
        <w:lastRenderedPageBreak/>
        <w:t xml:space="preserve">pregiudiziale di interpretazione e di validità), nonché grazie al contributo dei giudici nazionali per le azioni di loro competenza. Avremo modo di valutare nel corso di questo volume se la rivendicazione da parte della Corte della </w:t>
      </w:r>
      <w:r w:rsidRPr="00067EB0">
        <w:rPr>
          <w:iCs/>
        </w:rPr>
        <w:t>completezza</w:t>
      </w:r>
      <w:r w:rsidRPr="00067EB0">
        <w:t xml:space="preserve"> del sistema di tutela giurisdizionale, in particolare per quel che riguarda il controllo della legalità degli atti dell</w:t>
      </w:r>
      <w:r w:rsidR="00D04C06" w:rsidRPr="00067EB0">
        <w:t>’</w:t>
      </w:r>
      <w:r w:rsidRPr="00067EB0">
        <w:t>Unione</w:t>
      </w:r>
      <w:r w:rsidR="00557599" w:rsidRPr="00557599">
        <w:rPr>
          <w:rStyle w:val="Rimandonotaapidipagina"/>
        </w:rPr>
        <w:t> </w:t>
      </w:r>
      <w:r w:rsidR="00557599" w:rsidRPr="00557599">
        <w:rPr>
          <w:rStyle w:val="Rimandonotaapidipagina"/>
        </w:rPr>
        <w:footnoteReference w:id="6"/>
      </w:r>
      <w:r w:rsidRPr="00067EB0">
        <w:t>, sia del tutto condivisibile, ovvero se possono individuarsi tuttora alcune lacune. Va al momento evidenziato che già nei testi dei trattati, nonostante i progressi determinati dall</w:t>
      </w:r>
      <w:r w:rsidR="00D04C06" w:rsidRPr="00067EB0">
        <w:t>’</w:t>
      </w:r>
      <w:r w:rsidRPr="00067EB0">
        <w:t>ultima riforma realizzata con il Trattato di Lisbona, si rinvengono alcune situazioni peculiari in settori di più recente acquisizione nel “bagaglio” delle competenze europee, per i quali la giurisdizione della Corte viene esclusa o limitata: in primo luogo, ciò vale per il settore dello “spazio di libertà, sicurezza e giustizia”, in quanto ai sensi dell</w:t>
      </w:r>
      <w:r w:rsidR="00D04C06" w:rsidRPr="00067EB0">
        <w:t>’</w:t>
      </w:r>
      <w:r w:rsidRPr="00067EB0">
        <w:t xml:space="preserve">art. 276 TFUE la giurisdizione della CGUE è </w:t>
      </w:r>
      <w:r w:rsidRPr="00853B2F">
        <w:rPr>
          <w:i/>
        </w:rPr>
        <w:t>esclusa</w:t>
      </w:r>
      <w:r w:rsidRPr="00067EB0">
        <w:t xml:space="preserve"> rispetto alle misure adottate dagli Stati membri «per il mantenimento dell</w:t>
      </w:r>
      <w:r w:rsidR="00D04C06" w:rsidRPr="00067EB0">
        <w:t>’</w:t>
      </w:r>
      <w:r w:rsidRPr="00067EB0">
        <w:t>ordine pubblico e la salvaguardia della sicurezza interna».</w:t>
      </w:r>
    </w:p>
    <w:p w14:paraId="28657BD9" w14:textId="4B4A7568" w:rsidR="00D04C06" w:rsidRPr="00067EB0" w:rsidRDefault="00CC6E33" w:rsidP="00067EB0">
      <w:pPr>
        <w:pStyle w:val="Capoverso"/>
      </w:pPr>
      <w:r w:rsidRPr="00067EB0">
        <w:t>In secondo luogo, nel settore dell</w:t>
      </w:r>
      <w:r w:rsidR="00D04C06" w:rsidRPr="00067EB0">
        <w:t>’</w:t>
      </w:r>
      <w:r w:rsidRPr="00853B2F">
        <w:rPr>
          <w:i/>
          <w:iCs/>
        </w:rPr>
        <w:t>azione esterna dell</w:t>
      </w:r>
      <w:r w:rsidR="00D04C06" w:rsidRPr="00853B2F">
        <w:rPr>
          <w:i/>
          <w:iCs/>
        </w:rPr>
        <w:t>’</w:t>
      </w:r>
      <w:r w:rsidRPr="00853B2F">
        <w:rPr>
          <w:i/>
          <w:iCs/>
        </w:rPr>
        <w:t>Unione</w:t>
      </w:r>
      <w:r w:rsidRPr="00067EB0">
        <w:t>, la volontà degli Stati membri di avere il più possibile “mani libere” nelle attività svolte nel campo delle relazioni internazionali si traduce nell</w:t>
      </w:r>
      <w:r w:rsidR="00D04C06" w:rsidRPr="00067EB0">
        <w:t>’</w:t>
      </w:r>
      <w:r w:rsidRPr="00067EB0">
        <w:t>espressa esclusione della competenza della CGUE rispetto alle disposizioni del Trattato relative alla politica estera e di sicurezza comune (Titolo V, capo II del TUE), nonché agli atti adottati in base a dette disposizioni (art</w:t>
      </w:r>
      <w:r w:rsidR="00F727AE">
        <w:t>t</w:t>
      </w:r>
      <w:r w:rsidRPr="00067EB0">
        <w:t xml:space="preserve">. </w:t>
      </w:r>
      <w:r w:rsidR="00F727AE">
        <w:t xml:space="preserve">24 TUE, par. 1, secondo comma e </w:t>
      </w:r>
      <w:r w:rsidRPr="00067EB0">
        <w:t>275 TFUE, par. 1). Quest</w:t>
      </w:r>
      <w:r w:rsidR="00D04C06" w:rsidRPr="00067EB0">
        <w:t>’</w:t>
      </w:r>
      <w:r w:rsidRPr="00067EB0">
        <w:t>ultima deroga alla pienezza del sistema di controllo conosce tuttavia a sua volta due eccezioni, codificate al secondo paragrafo dell</w:t>
      </w:r>
      <w:r w:rsidR="00D04C06" w:rsidRPr="00067EB0">
        <w:t>’</w:t>
      </w:r>
      <w:r w:rsidRPr="00067EB0">
        <w:t>art. 275 TFUE: quanto alla prima, resta ferma la competenza della CGUE, secondo le regole comuni</w:t>
      </w:r>
      <w:r w:rsidR="00F727AE">
        <w:t xml:space="preserve"> e quindi anche tramite il rinvio pregiudiziale ex art. 267 TFUE</w:t>
      </w:r>
      <w:r w:rsidR="00EA18BA" w:rsidRPr="00651730">
        <w:rPr>
          <w:vertAlign w:val="superscript"/>
        </w:rPr>
        <w:t> </w:t>
      </w:r>
      <w:r w:rsidR="00F727AE">
        <w:rPr>
          <w:rStyle w:val="Rimandonotaapidipagina"/>
        </w:rPr>
        <w:footnoteReference w:id="7"/>
      </w:r>
      <w:r w:rsidRPr="00067EB0">
        <w:t>, a verificare il rispetto da parte delle istituzioni dell</w:t>
      </w:r>
      <w:r w:rsidR="00D04C06" w:rsidRPr="00067EB0">
        <w:t>’</w:t>
      </w:r>
      <w:r w:rsidRPr="00067EB0">
        <w:t>art. 40 TUE, vale a dire dei confini tra le competenze “ordinarie” dell</w:t>
      </w:r>
      <w:r w:rsidR="00D04C06" w:rsidRPr="00067EB0">
        <w:t>’</w:t>
      </w:r>
      <w:r w:rsidRPr="00067EB0">
        <w:t>Unione, da un lato, e quelle della politica estera e di sicurezza comune (PESC), dall</w:t>
      </w:r>
      <w:r w:rsidR="00D04C06" w:rsidRPr="00067EB0">
        <w:t>’</w:t>
      </w:r>
      <w:r w:rsidRPr="00067EB0">
        <w:t>altro: in concreto, il giudice dell</w:t>
      </w:r>
      <w:r w:rsidR="00D04C06" w:rsidRPr="00067EB0">
        <w:t>’</w:t>
      </w:r>
      <w:r w:rsidRPr="00067EB0">
        <w:t>Unione può essere chiamato a controllare se un atto adottato nel contesto della politica estera e di sicurezza comune non sia invece riconducibile ad un diverso settore</w:t>
      </w:r>
      <w:r w:rsidR="00557599" w:rsidRPr="00557599">
        <w:rPr>
          <w:rStyle w:val="Rimandonotaapidipagina"/>
        </w:rPr>
        <w:t> </w:t>
      </w:r>
      <w:r w:rsidR="00557599" w:rsidRPr="00557599">
        <w:rPr>
          <w:rStyle w:val="Rimandonotaapidipagina"/>
        </w:rPr>
        <w:footnoteReference w:id="8"/>
      </w:r>
      <w:r w:rsidRPr="00067EB0">
        <w:t xml:space="preserve"> (e viceversa), e detto controllo sulla “base giuridica” del</w:t>
      </w:r>
      <w:r w:rsidR="0030581D">
        <w:softHyphen/>
      </w:r>
      <w:r w:rsidRPr="00067EB0">
        <w:t>l</w:t>
      </w:r>
      <w:r w:rsidR="00D04C06" w:rsidRPr="00067EB0">
        <w:t>’</w:t>
      </w:r>
      <w:r w:rsidRPr="00067EB0">
        <w:t>atto assume una chiara valenza istituzionale in ragione delle peculiarità che il settore della PESC presenta rispetto sia alle tipologie di atti (decisioni invece che regolamenti o direttive), sia alle competenze delle istituzioni dell</w:t>
      </w:r>
      <w:r w:rsidR="00D04C06" w:rsidRPr="00067EB0">
        <w:t>’</w:t>
      </w:r>
      <w:r w:rsidRPr="00067EB0">
        <w:t>Unione (in particolare: il ruolo marginale del Parlamento europeo; quello rilevantissimo dell</w:t>
      </w:r>
      <w:r w:rsidR="00D04C06" w:rsidRPr="00067EB0">
        <w:t>’</w:t>
      </w:r>
      <w:r w:rsidRPr="00067EB0">
        <w:t>Alto Rappresentante per gli affari esteri e la politica di sicurezza; la regola dell</w:t>
      </w:r>
      <w:r w:rsidR="00D04C06" w:rsidRPr="00067EB0">
        <w:t>’</w:t>
      </w:r>
      <w:r w:rsidRPr="00067EB0">
        <w:t xml:space="preserve">unanimità in sede di Consiglio). La seconda eccezione concerne invece la competenza, riconosciuta alla CGUE, a </w:t>
      </w:r>
      <w:r w:rsidRPr="00067EB0">
        <w:lastRenderedPageBreak/>
        <w:t>pronunciarsi sui ricorsi, proposti secondo le condizioni di cui all</w:t>
      </w:r>
      <w:r w:rsidR="00D04C06" w:rsidRPr="00067EB0">
        <w:t>’</w:t>
      </w:r>
      <w:r w:rsidRPr="00067EB0">
        <w:t xml:space="preserve">art. 263, quarto comma, TFUE, riguardanti il controllo della legittimità delle decisioni che prevedono misure restrittive nei confronti di persone fisiche o giuridiche adottate dal Consiglio in base al titolo V, capo 2, </w:t>
      </w:r>
      <w:r w:rsidR="00F756EB">
        <w:t>TUE</w:t>
      </w:r>
      <w:r w:rsidRPr="00067EB0">
        <w:t>. In questo secondo caso, l</w:t>
      </w:r>
      <w:r w:rsidR="00D04C06" w:rsidRPr="00067EB0">
        <w:t>’</w:t>
      </w:r>
      <w:r w:rsidRPr="00067EB0">
        <w:t>esigenza che sottende l</w:t>
      </w:r>
      <w:r w:rsidR="00D04C06" w:rsidRPr="00067EB0">
        <w:t>’</w:t>
      </w:r>
      <w:r w:rsidRPr="00067EB0">
        <w:t>eccezione non è tanto di natura “costituzionale” (vale a dire preservare reciprocamente le peculiarità del sistema della PESC e delle altre competenze dell</w:t>
      </w:r>
      <w:r w:rsidR="00D04C06" w:rsidRPr="00067EB0">
        <w:t>’</w:t>
      </w:r>
      <w:r w:rsidRPr="00067EB0">
        <w:t>Unione), ma è piuttosto legata all</w:t>
      </w:r>
      <w:r w:rsidR="00D04C06" w:rsidRPr="00067EB0">
        <w:t>’</w:t>
      </w:r>
      <w:r w:rsidRPr="00067EB0">
        <w:t>ine</w:t>
      </w:r>
      <w:r w:rsidR="00DF624F">
        <w:softHyphen/>
      </w:r>
      <w:r w:rsidRPr="00067EB0">
        <w:t xml:space="preserve">ludibile esigenza di garantire un controllo giurisdizionale delle misure </w:t>
      </w:r>
      <w:r w:rsidR="00100857">
        <w:t>individuali</w:t>
      </w:r>
      <w:r w:rsidR="00EA18BA" w:rsidRPr="00651730">
        <w:rPr>
          <w:vertAlign w:val="superscript"/>
        </w:rPr>
        <w:t> </w:t>
      </w:r>
      <w:r w:rsidR="00100857">
        <w:rPr>
          <w:rStyle w:val="Rimandonotaapidipagina"/>
        </w:rPr>
        <w:footnoteReference w:id="9"/>
      </w:r>
      <w:r w:rsidR="00100857">
        <w:t xml:space="preserve"> </w:t>
      </w:r>
      <w:r w:rsidRPr="00067EB0">
        <w:t>di carattere sanzionatorio (congelamento dei beni, divieto di circolazione) che il Consiglio ha il potere di imporre alle persone fisiche o giuridiche che rientrano nelle liste di soggetti sottoposti a misure restrittive adottate nell</w:t>
      </w:r>
      <w:r w:rsidR="00D04C06" w:rsidRPr="00067EB0">
        <w:t>’</w:t>
      </w:r>
      <w:r w:rsidRPr="00067EB0">
        <w:t>ambito PESC</w:t>
      </w:r>
      <w:r w:rsidR="00557599" w:rsidRPr="00557599">
        <w:rPr>
          <w:rStyle w:val="Rimandonotaapidipagina"/>
        </w:rPr>
        <w:t> </w:t>
      </w:r>
      <w:r w:rsidR="00557599" w:rsidRPr="00557599">
        <w:rPr>
          <w:rStyle w:val="Rimandonotaapidipagina"/>
        </w:rPr>
        <w:footnoteReference w:id="10"/>
      </w:r>
      <w:r w:rsidRPr="00067EB0">
        <w:t>.</w:t>
      </w:r>
    </w:p>
    <w:p w14:paraId="4B6FABA9" w14:textId="5FDF7E5E" w:rsidR="00CC6E33" w:rsidRPr="00067EB0" w:rsidRDefault="00CC6E33" w:rsidP="00067EB0">
      <w:pPr>
        <w:pStyle w:val="Capoverso"/>
      </w:pPr>
      <w:r w:rsidRPr="00067EB0">
        <w:t xml:space="preserve">Resta, infine, da ricordare la </w:t>
      </w:r>
      <w:r w:rsidRPr="00853B2F">
        <w:rPr>
          <w:i/>
        </w:rPr>
        <w:t>limitata</w:t>
      </w:r>
      <w:r w:rsidRPr="00067EB0">
        <w:t xml:space="preserve"> competenza riconosciuta alla Corte di giustizia in relazione all</w:t>
      </w:r>
      <w:r w:rsidR="00D04C06" w:rsidRPr="00067EB0">
        <w:t>’</w:t>
      </w:r>
      <w:r w:rsidRPr="00067EB0">
        <w:t>art. 7 TUE che, come noto, prevede un particolare meccanismo accentrato di controllo del rispetto, da parte degli Stati membri, dei principi di libertà, democrazia, rispetto dei diritti dell</w:t>
      </w:r>
      <w:r w:rsidR="00D04C06" w:rsidRPr="00067EB0">
        <w:t>’</w:t>
      </w:r>
      <w:r w:rsidRPr="00067EB0">
        <w:t>uomo e delle libertà fondamentali e dello stato di diritto, investendo il Consiglio europeo e il Consiglio del compito di censurare il comportamento di uno Stato membro che violi, in modo grave e persistente, tali principi o diritti (</w:t>
      </w:r>
      <w:proofErr w:type="spellStart"/>
      <w:r w:rsidRPr="00067EB0">
        <w:t>parr</w:t>
      </w:r>
      <w:proofErr w:type="spellEnd"/>
      <w:r w:rsidRPr="00067EB0">
        <w:t>. 2 e 3), ovvero rischi di violarli (par. 1). Si tratta, in base a quanto sancito dall</w:t>
      </w:r>
      <w:r w:rsidR="00D04C06" w:rsidRPr="00067EB0">
        <w:t>’</w:t>
      </w:r>
      <w:r w:rsidRPr="00067EB0">
        <w:t>art. 269 TFUE, di una competenza circoscritta al controllo del rispetto delle sole disposizioni di carattere procedurale di cui all</w:t>
      </w:r>
      <w:r w:rsidR="00D04C06" w:rsidRPr="00067EB0">
        <w:t>’</w:t>
      </w:r>
      <w:r w:rsidRPr="00067EB0">
        <w:t>art. 7 TUE ed esercitabile solamente su richiesta dello Stato membro interessato, entro il termine di un mese a decorrere dalla data in cui il Consiglio procede alla constatazione del rischio o della conclamata violazione grave e persistente di cui alla disposizione in parola.</w:t>
      </w:r>
    </w:p>
    <w:p w14:paraId="6243DA57" w14:textId="7927A0F5" w:rsidR="00CC6E33" w:rsidRPr="00067EB0" w:rsidRDefault="00CC6E33" w:rsidP="00676871">
      <w:pPr>
        <w:pStyle w:val="Capoverso"/>
      </w:pPr>
      <w:r w:rsidRPr="00067EB0">
        <w:lastRenderedPageBreak/>
        <w:t>Infine, per completezza meritano un richiamo le clausole attributive di competenza giurisdizionale alla Corte di giustizia inserite in accordi internazionali conclusi tra Stati membri. Ai sensi dell</w:t>
      </w:r>
      <w:r w:rsidR="00D04C06" w:rsidRPr="00067EB0">
        <w:t>’</w:t>
      </w:r>
      <w:r w:rsidRPr="00067EB0">
        <w:t>art. 273 TFUE, la Corte di giustizia è competente a conoscere di qualsiasi controversia tra Stati membri in connessione con l</w:t>
      </w:r>
      <w:r w:rsidR="00D04C06" w:rsidRPr="00067EB0">
        <w:t>’</w:t>
      </w:r>
      <w:r w:rsidRPr="00067EB0">
        <w:t>oggetto del presente trattato, quando tale controversia le venga sottoposta in virtù di un compromesso. Il caso più rilevante è quello degli accordi internazionali relativi all</w:t>
      </w:r>
      <w:r w:rsidR="00D04C06" w:rsidRPr="00067EB0">
        <w:t>’</w:t>
      </w:r>
      <w:r w:rsidRPr="00067EB0">
        <w:t>Unione economica e monetaria stipulati tra alcuni Stati membri dell</w:t>
      </w:r>
      <w:r w:rsidR="00D04C06" w:rsidRPr="00067EB0">
        <w:t>’</w:t>
      </w:r>
      <w:r w:rsidRPr="00067EB0">
        <w:t>Unione europea</w:t>
      </w:r>
      <w:r w:rsidR="00557599" w:rsidRPr="00557599">
        <w:rPr>
          <w:rStyle w:val="Rimandonotaapidipagina"/>
        </w:rPr>
        <w:t> </w:t>
      </w:r>
      <w:r w:rsidR="00557599" w:rsidRPr="00557599">
        <w:rPr>
          <w:rStyle w:val="Rimandonotaapidipagina"/>
        </w:rPr>
        <w:footnoteReference w:id="11"/>
      </w:r>
      <w:r w:rsidRPr="00067EB0">
        <w:t>, nei quali è prevista espressamente, sia pure con formulazioni parzialmente divergenti, l</w:t>
      </w:r>
      <w:r w:rsidR="00D04C06" w:rsidRPr="00067EB0">
        <w:t>’</w:t>
      </w:r>
      <w:r w:rsidRPr="00067EB0">
        <w:t>attribuzione di competenza alla Corte di giustizia, anche per controversie che vedono come parti non soltanto gli Stati membri ma anche organizzazioni internazionali da essi create come il MES (Meccanismo europeo di stabilità)</w:t>
      </w:r>
      <w:r w:rsidR="00557599" w:rsidRPr="00557599">
        <w:rPr>
          <w:rStyle w:val="Rimandonotaapidipagina"/>
        </w:rPr>
        <w:t> </w:t>
      </w:r>
      <w:r w:rsidR="00557599" w:rsidRPr="00557599">
        <w:rPr>
          <w:rStyle w:val="Rimandonotaapidipagina"/>
        </w:rPr>
        <w:footnoteReference w:id="12"/>
      </w:r>
      <w:r w:rsidRPr="00067EB0">
        <w:t>.</w:t>
      </w:r>
    </w:p>
    <w:p w14:paraId="32669174" w14:textId="13351EA0" w:rsidR="00CC6E33" w:rsidRPr="00963945" w:rsidRDefault="00D61682" w:rsidP="00676871">
      <w:pPr>
        <w:pStyle w:val="Paragrafo"/>
        <w:rPr>
          <w:szCs w:val="24"/>
        </w:rPr>
      </w:pPr>
      <w:r>
        <w:t xml:space="preserve">2. </w:t>
      </w:r>
      <w:r w:rsidR="00CC6E33" w:rsidRPr="00164B22">
        <w:t>Le fonti del diritto processuale dell</w:t>
      </w:r>
      <w:r w:rsidR="00D04C06">
        <w:t>’</w:t>
      </w:r>
      <w:r w:rsidR="00CC6E33" w:rsidRPr="00164B22">
        <w:t>Unione</w:t>
      </w:r>
      <w:r w:rsidR="00CC6E33">
        <w:t xml:space="preserve"> europea</w:t>
      </w:r>
      <w:bookmarkStart w:id="2" w:name="_Hlk172889155"/>
    </w:p>
    <w:p w14:paraId="23E6F040" w14:textId="006A1658" w:rsidR="00CC6E33" w:rsidRPr="00067EB0" w:rsidRDefault="00CC6E33" w:rsidP="0030581D">
      <w:pPr>
        <w:pStyle w:val="Capoverso"/>
        <w:spacing w:line="253" w:lineRule="exact"/>
      </w:pPr>
      <w:r w:rsidRPr="00067EB0">
        <w:t>Il sistema processuale dell</w:t>
      </w:r>
      <w:r w:rsidR="00D04C06" w:rsidRPr="00067EB0">
        <w:t>’</w:t>
      </w:r>
      <w:r w:rsidRPr="00067EB0">
        <w:t>Unione, ovvero l</w:t>
      </w:r>
      <w:r w:rsidR="00D04C06" w:rsidRPr="00067EB0">
        <w:t>’</w:t>
      </w:r>
      <w:r w:rsidRPr="00067EB0">
        <w:t>insieme delle regole del processo, inteso in senso lato quale complesso di disposizioni che disciplinano la giurisdizione, il riparto di competenza tra gli organi giudiziari che compongono il sistema stesso, l</w:t>
      </w:r>
      <w:r w:rsidR="00D04C06" w:rsidRPr="00067EB0">
        <w:t>’</w:t>
      </w:r>
      <w:r w:rsidRPr="00067EB0">
        <w:t xml:space="preserve">organizzazione e la procedura, è caratterizzato da una spiccata </w:t>
      </w:r>
      <w:r w:rsidRPr="00853B2F">
        <w:rPr>
          <w:i/>
        </w:rPr>
        <w:t xml:space="preserve">frammentarietà </w:t>
      </w:r>
      <w:r w:rsidRPr="00067EB0">
        <w:t>ed</w:t>
      </w:r>
      <w:r w:rsidRPr="00853B2F">
        <w:rPr>
          <w:i/>
        </w:rPr>
        <w:t xml:space="preserve"> eterogeneità </w:t>
      </w:r>
      <w:r w:rsidRPr="00067EB0">
        <w:t>quanto all</w:t>
      </w:r>
      <w:r w:rsidR="00D04C06" w:rsidRPr="00067EB0">
        <w:t>’</w:t>
      </w:r>
      <w:r w:rsidRPr="00067EB0">
        <w:t>origine e all</w:t>
      </w:r>
      <w:r w:rsidR="00D04C06" w:rsidRPr="00067EB0">
        <w:t>’</w:t>
      </w:r>
      <w:r w:rsidRPr="00067EB0">
        <w:t xml:space="preserve">efficacia delle fonti. Dette regole si rinvengono infatti tanto in norme di diritto primario e derivato, quanto in atti di </w:t>
      </w:r>
      <w:r w:rsidRPr="00853B2F">
        <w:rPr>
          <w:i/>
        </w:rPr>
        <w:t xml:space="preserve">soft </w:t>
      </w:r>
      <w:proofErr w:type="spellStart"/>
      <w:r w:rsidRPr="00853B2F">
        <w:rPr>
          <w:i/>
        </w:rPr>
        <w:t>law</w:t>
      </w:r>
      <w:proofErr w:type="spellEnd"/>
      <w:r w:rsidRPr="00067EB0">
        <w:t>, nonché, ancora, in regole elaborate in via giurisprudenziale.</w:t>
      </w:r>
    </w:p>
    <w:bookmarkEnd w:id="2"/>
    <w:p w14:paraId="5801ECDC" w14:textId="510D9E8A" w:rsidR="00D04C06" w:rsidRPr="00067EB0" w:rsidRDefault="00CC6E33" w:rsidP="0030581D">
      <w:pPr>
        <w:pStyle w:val="Capoverso"/>
        <w:spacing w:line="253" w:lineRule="exact"/>
      </w:pPr>
      <w:r w:rsidRPr="00A32F64">
        <w:rPr>
          <w:spacing w:val="1"/>
        </w:rPr>
        <w:t xml:space="preserve">Con riferimento alle </w:t>
      </w:r>
      <w:r w:rsidRPr="00A32F64">
        <w:rPr>
          <w:i/>
          <w:spacing w:val="1"/>
        </w:rPr>
        <w:t>fonti pattizie</w:t>
      </w:r>
      <w:r w:rsidRPr="00A32F64">
        <w:rPr>
          <w:spacing w:val="1"/>
        </w:rPr>
        <w:t>, entrambi i trattati istitutivi vengono in rilievo: il già citato art. 19 TUE, inserito nel Titolo III dedicato alle disposizioni relative alle istituzioni, adotta la scelta molto significativa di presentare il sistema giurisdizionale dell</w:t>
      </w:r>
      <w:r w:rsidR="00D04C06" w:rsidRPr="00A32F64">
        <w:rPr>
          <w:spacing w:val="1"/>
        </w:rPr>
        <w:t>’</w:t>
      </w:r>
      <w:r w:rsidRPr="00A32F64">
        <w:rPr>
          <w:spacing w:val="1"/>
        </w:rPr>
        <w:t>Unione come composto sia dalle corti europee, sia dalle corti nazionali, in quanto tutte chiamate, nel</w:t>
      </w:r>
      <w:r w:rsidR="00DF624F" w:rsidRPr="00A32F64">
        <w:rPr>
          <w:spacing w:val="1"/>
        </w:rPr>
        <w:softHyphen/>
      </w:r>
      <w:r w:rsidRPr="00A32F64">
        <w:rPr>
          <w:spacing w:val="1"/>
        </w:rPr>
        <w:t>l</w:t>
      </w:r>
      <w:r w:rsidR="00D04C06" w:rsidRPr="00A32F64">
        <w:rPr>
          <w:spacing w:val="1"/>
        </w:rPr>
        <w:t>’</w:t>
      </w:r>
      <w:r w:rsidRPr="00A32F64">
        <w:rPr>
          <w:spacing w:val="1"/>
        </w:rPr>
        <w:t>ambito delle rispettive sfere di competenza giurisdizionale, ad assicurare la tutela dei diritti nell</w:t>
      </w:r>
      <w:r w:rsidR="00D04C06" w:rsidRPr="00A32F64">
        <w:rPr>
          <w:spacing w:val="1"/>
        </w:rPr>
        <w:t>’</w:t>
      </w:r>
      <w:r w:rsidRPr="00A32F64">
        <w:rPr>
          <w:spacing w:val="1"/>
        </w:rPr>
        <w:t>ordinamento dell</w:t>
      </w:r>
      <w:r w:rsidR="00D04C06" w:rsidRPr="00A32F64">
        <w:rPr>
          <w:spacing w:val="1"/>
        </w:rPr>
        <w:t>’</w:t>
      </w:r>
      <w:r w:rsidRPr="00A32F64">
        <w:rPr>
          <w:spacing w:val="1"/>
        </w:rPr>
        <w:t>Unione. Del ruolo delle giurisdizioni nazionali si occuperà un successivo capitolo di questo Manuale</w:t>
      </w:r>
      <w:r w:rsidR="00557599" w:rsidRPr="00A32F64">
        <w:rPr>
          <w:rStyle w:val="Rimandonotaapidipagina"/>
          <w:spacing w:val="1"/>
        </w:rPr>
        <w:t> </w:t>
      </w:r>
      <w:r w:rsidR="00557599" w:rsidRPr="00A32F64">
        <w:rPr>
          <w:rStyle w:val="Rimandonotaapidipagina"/>
          <w:spacing w:val="1"/>
        </w:rPr>
        <w:footnoteReference w:id="13"/>
      </w:r>
      <w:r w:rsidRPr="00A32F64">
        <w:rPr>
          <w:spacing w:val="1"/>
        </w:rPr>
        <w:t>. Quanto alle corti dell</w:t>
      </w:r>
      <w:r w:rsidR="00D04C06" w:rsidRPr="00A32F64">
        <w:rPr>
          <w:spacing w:val="1"/>
        </w:rPr>
        <w:t>’</w:t>
      </w:r>
      <w:r w:rsidRPr="00A32F64">
        <w:rPr>
          <w:spacing w:val="1"/>
        </w:rPr>
        <w:t>Unione, l</w:t>
      </w:r>
      <w:r w:rsidR="00D04C06" w:rsidRPr="00A32F64">
        <w:rPr>
          <w:spacing w:val="1"/>
        </w:rPr>
        <w:t>’</w:t>
      </w:r>
      <w:r w:rsidRPr="00A32F64">
        <w:rPr>
          <w:spacing w:val="1"/>
        </w:rPr>
        <w:t>art. 19, par. 1, primo comma, presenta la CGUE come istituzione articolata, in quanto composta da tre diversi organismi giurisdizionali: la Corte di giustizia, il Tribunale e, se istituiti dal Consiglio, i Tribunali specia</w:t>
      </w:r>
      <w:r w:rsidRPr="00A32F64">
        <w:rPr>
          <w:spacing w:val="1"/>
        </w:rPr>
        <w:lastRenderedPageBreak/>
        <w:t>lizzati. I successivi paragrafi, riferiti esclusivamente alle corti europee, in linea con la filosofia generale del TUE come testo che detta le regole di base del sistema istituzionale dell</w:t>
      </w:r>
      <w:r w:rsidR="00D04C06" w:rsidRPr="00A32F64">
        <w:rPr>
          <w:spacing w:val="1"/>
        </w:rPr>
        <w:t>’</w:t>
      </w:r>
      <w:r w:rsidRPr="00A32F64">
        <w:rPr>
          <w:spacing w:val="1"/>
        </w:rPr>
        <w:t>Unione, contempla le disposizioni principali in tema di composizione (par. 2) e di competenze (par. 3) della Corte di giustizia e del Tribunale. Nella giurisprudenza più recente</w:t>
      </w:r>
      <w:r w:rsidR="00557599" w:rsidRPr="00A32F64">
        <w:rPr>
          <w:rStyle w:val="Rimandonotaapidipagina"/>
          <w:spacing w:val="1"/>
        </w:rPr>
        <w:t> </w:t>
      </w:r>
      <w:r w:rsidR="00557599" w:rsidRPr="00A32F64">
        <w:rPr>
          <w:rStyle w:val="Rimandonotaapidipagina"/>
          <w:spacing w:val="1"/>
        </w:rPr>
        <w:footnoteReference w:id="14"/>
      </w:r>
      <w:r w:rsidRPr="00A32F64">
        <w:rPr>
          <w:spacing w:val="1"/>
        </w:rPr>
        <w:t>,</w:t>
      </w:r>
      <w:r w:rsidRPr="00067EB0">
        <w:t xml:space="preserve"> l</w:t>
      </w:r>
      <w:r w:rsidR="00D04C06" w:rsidRPr="00067EB0">
        <w:t>’</w:t>
      </w:r>
      <w:r w:rsidRPr="00067EB0">
        <w:t>art. 19 TUE viene applicato spesso in combinato disposto con l</w:t>
      </w:r>
      <w:r w:rsidR="00D04C06" w:rsidRPr="00067EB0">
        <w:t>’</w:t>
      </w:r>
      <w:r w:rsidRPr="00067EB0">
        <w:t>art. 2 del medesimo Trattato, disposizione che codifica i valori che stanno a fondamento dell</w:t>
      </w:r>
      <w:r w:rsidR="00D04C06" w:rsidRPr="00067EB0">
        <w:t>’</w:t>
      </w:r>
      <w:r w:rsidRPr="00067EB0">
        <w:t>Unione europea, tra i quali il principio dello Stato di diritto.</w:t>
      </w:r>
    </w:p>
    <w:p w14:paraId="64FA10D0" w14:textId="26C9F1A6" w:rsidR="00D04C06" w:rsidRPr="00067EB0" w:rsidRDefault="00CC6E33" w:rsidP="00067EB0">
      <w:pPr>
        <w:pStyle w:val="Capoverso"/>
      </w:pPr>
      <w:r w:rsidRPr="00067EB0">
        <w:t>Il Trattato sul funzionamento dell</w:t>
      </w:r>
      <w:r w:rsidR="00D04C06" w:rsidRPr="00067EB0">
        <w:t>’</w:t>
      </w:r>
      <w:r w:rsidRPr="00067EB0">
        <w:t>Unione europea (TFUE), dal canto suo, dedica alla CGUE ben trenta articoli (dal 251 al 281, Parte VI, Titolo 1, Capo 1, Sezione 1)</w:t>
      </w:r>
      <w:r w:rsidR="00557599" w:rsidRPr="00557599">
        <w:rPr>
          <w:rStyle w:val="Rimandonotaapidipagina"/>
        </w:rPr>
        <w:t> </w:t>
      </w:r>
      <w:r w:rsidR="00557599" w:rsidRPr="00557599">
        <w:rPr>
          <w:rStyle w:val="Rimandonotaapidipagina"/>
        </w:rPr>
        <w:footnoteReference w:id="15"/>
      </w:r>
      <w:r w:rsidRPr="00067EB0">
        <w:t xml:space="preserve">, nei quali, accanto a </w:t>
      </w:r>
      <w:r w:rsidRPr="00853B2F">
        <w:rPr>
          <w:i/>
        </w:rPr>
        <w:t>norme</w:t>
      </w:r>
      <w:r w:rsidRPr="00067EB0">
        <w:t xml:space="preserve"> </w:t>
      </w:r>
      <w:r w:rsidRPr="00853B2F">
        <w:rPr>
          <w:i/>
        </w:rPr>
        <w:t>generali</w:t>
      </w:r>
      <w:r w:rsidRPr="00067EB0">
        <w:t xml:space="preserve"> e di </w:t>
      </w:r>
      <w:r w:rsidRPr="00853B2F">
        <w:rPr>
          <w:i/>
        </w:rPr>
        <w:t xml:space="preserve">struttura </w:t>
      </w:r>
      <w:r w:rsidRPr="00067EB0">
        <w:t>inerenti la composizione e il funzionamento dei diversi organi giurisdizionali (artt. 251– 253 per la Corte di giustizia; artt. 254 e 256 per il Tribunale; art. 257 per i tribunali specializzati; art. 255 per il Comitato chiamato a pronunciarsi sull</w:t>
      </w:r>
      <w:r w:rsidR="00D04C06" w:rsidRPr="00067EB0">
        <w:t>’</w:t>
      </w:r>
      <w:r w:rsidRPr="00067EB0">
        <w:t xml:space="preserve">adeguatezza dei candidati alle funzioni di giudice ed avvocato generale), si rinvengono </w:t>
      </w:r>
      <w:r w:rsidRPr="00853B2F">
        <w:rPr>
          <w:i/>
        </w:rPr>
        <w:t>regole sulle competenze</w:t>
      </w:r>
      <w:r w:rsidRPr="00067EB0">
        <w:t xml:space="preserve"> delle corti europee (artt. 258– 280), </w:t>
      </w:r>
      <w:r w:rsidRPr="00853B2F">
        <w:rPr>
          <w:i/>
        </w:rPr>
        <w:t>regole sulle fonti</w:t>
      </w:r>
      <w:r w:rsidRPr="00067EB0">
        <w:t xml:space="preserve"> (art. 281, che disciplina la procedura di modifica dello Statuto, su cui v. </w:t>
      </w:r>
      <w:r w:rsidRPr="00853B2F">
        <w:rPr>
          <w:i/>
          <w:iCs/>
        </w:rPr>
        <w:t>infra</w:t>
      </w:r>
      <w:r w:rsidRPr="00067EB0">
        <w:t xml:space="preserve">), ma anche </w:t>
      </w:r>
      <w:r w:rsidRPr="00853B2F">
        <w:rPr>
          <w:i/>
        </w:rPr>
        <w:t>regole procedurali e di dettaglio</w:t>
      </w:r>
      <w:r w:rsidRPr="00067EB0">
        <w:t>, quali, ad esempio, quella di cui al quinto comma dell</w:t>
      </w:r>
      <w:r w:rsidR="00D04C06" w:rsidRPr="00067EB0">
        <w:t>’</w:t>
      </w:r>
      <w:r w:rsidRPr="00067EB0">
        <w:t>art. 263 che fissa il termine per la presentazione del ricorso per l</w:t>
      </w:r>
      <w:r w:rsidR="00D04C06" w:rsidRPr="00067EB0">
        <w:t>’</w:t>
      </w:r>
      <w:r w:rsidRPr="00067EB0">
        <w:t>annul</w:t>
      </w:r>
      <w:r w:rsidR="00DF624F">
        <w:softHyphen/>
      </w:r>
      <w:r w:rsidRPr="00067EB0">
        <w:t>la</w:t>
      </w:r>
      <w:r w:rsidR="00DF624F">
        <w:softHyphen/>
      </w:r>
      <w:r w:rsidRPr="00067EB0">
        <w:t>mento di un atto dell</w:t>
      </w:r>
      <w:r w:rsidR="00D04C06" w:rsidRPr="00067EB0">
        <w:t>’</w:t>
      </w:r>
      <w:r w:rsidRPr="00067EB0">
        <w:t>Unione.</w:t>
      </w:r>
    </w:p>
    <w:p w14:paraId="5E0C27E4" w14:textId="668BB19F" w:rsidR="00D04C06" w:rsidRPr="00067EB0" w:rsidRDefault="00CC6E33" w:rsidP="00067EB0">
      <w:pPr>
        <w:pStyle w:val="Capoverso"/>
      </w:pPr>
      <w:r w:rsidRPr="00067EB0">
        <w:t xml:space="preserve">Tra le norme pattizie va poi annoverato lo </w:t>
      </w:r>
      <w:r w:rsidRPr="00853B2F">
        <w:rPr>
          <w:i/>
        </w:rPr>
        <w:t>Statuto della Corte di giustizia del</w:t>
      </w:r>
      <w:r w:rsidR="00DF624F">
        <w:rPr>
          <w:i/>
        </w:rPr>
        <w:softHyphen/>
      </w:r>
      <w:r w:rsidRPr="00853B2F">
        <w:rPr>
          <w:i/>
        </w:rPr>
        <w:t>l</w:t>
      </w:r>
      <w:r w:rsidR="00D04C06" w:rsidRPr="00853B2F">
        <w:rPr>
          <w:i/>
        </w:rPr>
        <w:t>’</w:t>
      </w:r>
      <w:r w:rsidRPr="00853B2F">
        <w:rPr>
          <w:i/>
        </w:rPr>
        <w:t>Unione europea</w:t>
      </w:r>
      <w:r w:rsidR="00557599" w:rsidRPr="00557599">
        <w:rPr>
          <w:vertAlign w:val="superscript"/>
        </w:rPr>
        <w:t> </w:t>
      </w:r>
      <w:r w:rsidR="00557599" w:rsidRPr="00557599">
        <w:rPr>
          <w:vertAlign w:val="superscript"/>
        </w:rPr>
        <w:footnoteReference w:id="16"/>
      </w:r>
      <w:r w:rsidRPr="00067EB0">
        <w:t xml:space="preserve"> che, seppur contenuto in un apposito protocollo allegato ai trattati istitutivi, si colloca in posizione non gerarchicamente subordinata rispetto ad essi, di cui è appunto – per esplicita previsione degli stessi – «parte integrante»</w:t>
      </w:r>
      <w:r w:rsidR="00557599" w:rsidRPr="00557599">
        <w:rPr>
          <w:rStyle w:val="Rimandonotaapidipagina"/>
        </w:rPr>
        <w:t> </w:t>
      </w:r>
      <w:r w:rsidR="00557599" w:rsidRPr="00557599">
        <w:rPr>
          <w:rStyle w:val="Rimandonotaapidipagina"/>
        </w:rPr>
        <w:footnoteReference w:id="17"/>
      </w:r>
      <w:r w:rsidRPr="00067EB0">
        <w:t xml:space="preserve">. Composto di 64 articoli, lo Statuto contiene </w:t>
      </w:r>
      <w:r w:rsidRPr="00853B2F">
        <w:rPr>
          <w:i/>
        </w:rPr>
        <w:t>regole comuni</w:t>
      </w:r>
      <w:r w:rsidRPr="00067EB0">
        <w:t xml:space="preserve"> ai tre organismi giurisdizionali e </w:t>
      </w:r>
      <w:r w:rsidRPr="00853B2F">
        <w:rPr>
          <w:i/>
        </w:rPr>
        <w:t>regole specifiche</w:t>
      </w:r>
      <w:r w:rsidRPr="00067EB0">
        <w:t xml:space="preserve"> per ognuno di essi</w:t>
      </w:r>
      <w:r w:rsidR="00557599" w:rsidRPr="00557599">
        <w:rPr>
          <w:rStyle w:val="Rimandonotaapidipagina"/>
        </w:rPr>
        <w:t> </w:t>
      </w:r>
      <w:r w:rsidR="00557599" w:rsidRPr="00557599">
        <w:rPr>
          <w:rStyle w:val="Rimandonotaapidipagina"/>
        </w:rPr>
        <w:footnoteReference w:id="18"/>
      </w:r>
      <w:r w:rsidRPr="00067EB0">
        <w:t xml:space="preserve">. </w:t>
      </w:r>
      <w:r w:rsidRPr="00067EB0">
        <w:lastRenderedPageBreak/>
        <w:t xml:space="preserve">Esso è peraltro </w:t>
      </w:r>
      <w:r w:rsidRPr="00853B2F">
        <w:rPr>
          <w:i/>
        </w:rPr>
        <w:t>modificabile</w:t>
      </w:r>
      <w:r w:rsidRPr="00067EB0">
        <w:t xml:space="preserve"> dalle istituzioni dell</w:t>
      </w:r>
      <w:r w:rsidR="00D04C06" w:rsidRPr="00067EB0">
        <w:t>’</w:t>
      </w:r>
      <w:r w:rsidRPr="00067EB0">
        <w:t>Unione secondo la procedura codificata all</w:t>
      </w:r>
      <w:r w:rsidR="00D04C06" w:rsidRPr="00067EB0">
        <w:t>’</w:t>
      </w:r>
      <w:r w:rsidRPr="00067EB0">
        <w:t>art. 281 TFUE che coinvolge la stessa Corte di giustizia, la Commissione, il Parlamento europeo ed il Consiglio</w:t>
      </w:r>
      <w:r w:rsidR="00557599" w:rsidRPr="00557599">
        <w:rPr>
          <w:vertAlign w:val="superscript"/>
        </w:rPr>
        <w:t> </w:t>
      </w:r>
      <w:r w:rsidR="00557599" w:rsidRPr="00557599">
        <w:rPr>
          <w:vertAlign w:val="superscript"/>
        </w:rPr>
        <w:footnoteReference w:id="19"/>
      </w:r>
      <w:r w:rsidRPr="00067EB0">
        <w:t>. Questa procedura atipica di revisione del diritto primario dell</w:t>
      </w:r>
      <w:r w:rsidR="00D04C06" w:rsidRPr="00067EB0">
        <w:t>’</w:t>
      </w:r>
      <w:r w:rsidRPr="00067EB0">
        <w:t>Unione non trova peraltro applicazione per la modifica delle disposizioni del Titolo I dello Statuto, dedicato allo statuto dei giudici e degli A.G., per le cui modifiche è necessario il sistema tradizionale di revisione dei trattati di cui all</w:t>
      </w:r>
      <w:r w:rsidR="00D04C06" w:rsidRPr="00067EB0">
        <w:t>’</w:t>
      </w:r>
      <w:r w:rsidRPr="00067EB0">
        <w:t>art. 48 TUE e, quindi, la convocazione di una conferenza intergovernativa, l</w:t>
      </w:r>
      <w:r w:rsidR="00D04C06" w:rsidRPr="00067EB0">
        <w:t>’</w:t>
      </w:r>
      <w:r w:rsidRPr="00067EB0">
        <w:t>adozione di un progetto di trattato di modifica e la successiva ratifica da parte degli Stati membri</w:t>
      </w:r>
      <w:r w:rsidRPr="00860493">
        <w:t>.</w:t>
      </w:r>
    </w:p>
    <w:p w14:paraId="7F6CDB26" w14:textId="05790759" w:rsidR="00CC6E33" w:rsidRPr="00067EB0" w:rsidRDefault="00CC6E33" w:rsidP="00067EB0">
      <w:pPr>
        <w:pStyle w:val="Capoverso"/>
      </w:pPr>
      <w:r w:rsidRPr="00067EB0">
        <w:t>Regole del sistema processuale dell</w:t>
      </w:r>
      <w:r w:rsidR="00D04C06" w:rsidRPr="00067EB0">
        <w:t>’</w:t>
      </w:r>
      <w:r w:rsidRPr="00067EB0">
        <w:t xml:space="preserve">Unione si rinvengono altresì nella </w:t>
      </w:r>
      <w:r w:rsidR="00D074B7">
        <w:t>CDFUE</w:t>
      </w:r>
      <w:r w:rsidRPr="00067EB0">
        <w:t>, il cui testo partecipa anch</w:t>
      </w:r>
      <w:r w:rsidR="00D04C06" w:rsidRPr="00067EB0">
        <w:t>’</w:t>
      </w:r>
      <w:r w:rsidRPr="00067EB0">
        <w:t>esso della natura di fonte primaria del</w:t>
      </w:r>
      <w:r w:rsidR="0030581D">
        <w:softHyphen/>
      </w:r>
      <w:r w:rsidRPr="00067EB0">
        <w:t>l</w:t>
      </w:r>
      <w:r w:rsidR="00D04C06" w:rsidRPr="00067EB0">
        <w:t>’</w:t>
      </w:r>
      <w:r w:rsidRPr="00067EB0">
        <w:t>Unione, giusta la previsione contenuta nell</w:t>
      </w:r>
      <w:r w:rsidR="00D04C06" w:rsidRPr="00067EB0">
        <w:t>’</w:t>
      </w:r>
      <w:r w:rsidRPr="00067EB0">
        <w:t xml:space="preserve">art. 6, par. 1, primo comma, TUE. Viene in rilievo, in particolare, il Titolo VI della </w:t>
      </w:r>
      <w:r w:rsidR="00D074B7">
        <w:t>CDFUE</w:t>
      </w:r>
      <w:r w:rsidRPr="00067EB0">
        <w:t>, dedicato alla Giustizia (lo Statuto), nel quale si rinviene la già citata disposizione (art. 47), valorizzata soprattutto nella più recente giurisprudenza della Corte, che codifica il diritto a un ricorso effettivo e a un giudice imparziale. Detta disposizione ha come destinatari sia le corti europee, sia, nella misura in cui agiscono nell</w:t>
      </w:r>
      <w:r w:rsidR="00D04C06" w:rsidRPr="00067EB0">
        <w:t>’</w:t>
      </w:r>
      <w:r w:rsidRPr="00067EB0">
        <w:t>ambito del diritto dell</w:t>
      </w:r>
      <w:r w:rsidR="00D04C06" w:rsidRPr="00067EB0">
        <w:t>’</w:t>
      </w:r>
      <w:r w:rsidRPr="00067EB0">
        <w:t xml:space="preserve">Unione, i giudici nazionali. Inoltre, assumono rilevanza alcuni </w:t>
      </w:r>
      <w:r w:rsidRPr="00853B2F">
        <w:rPr>
          <w:i/>
        </w:rPr>
        <w:t>principi generali del diritto dell</w:t>
      </w:r>
      <w:r w:rsidR="00D04C06" w:rsidRPr="00853B2F">
        <w:rPr>
          <w:i/>
        </w:rPr>
        <w:t>’</w:t>
      </w:r>
      <w:r w:rsidRPr="00853B2F">
        <w:rPr>
          <w:i/>
        </w:rPr>
        <w:t>Unione</w:t>
      </w:r>
      <w:r w:rsidRPr="00067EB0">
        <w:t xml:space="preserve"> (si pensi, per tutti, al principio di leale cooperazione, di cui è indubbia la natura di fonte primaria, in quanto espressamente sancito dall</w:t>
      </w:r>
      <w:r w:rsidR="00D04C06" w:rsidRPr="00067EB0">
        <w:t>’</w:t>
      </w:r>
      <w:r w:rsidRPr="00067EB0">
        <w:t>art. 4, par. 3, TUE), nonché norme di più difficile collocazione nella gerarchia delle fonti dell</w:t>
      </w:r>
      <w:r w:rsidR="00D04C06" w:rsidRPr="00067EB0">
        <w:t>’</w:t>
      </w:r>
      <w:r w:rsidRPr="00067EB0">
        <w:t xml:space="preserve">Unione: il riferimento è, in particolare, alla (peraltro ormai abrogata) </w:t>
      </w:r>
      <w:r w:rsidRPr="00853B2F">
        <w:rPr>
          <w:i/>
        </w:rPr>
        <w:t>decisione istitutiva del Tribunale di primo grado</w:t>
      </w:r>
      <w:r w:rsidRPr="00067EB0">
        <w:t xml:space="preserve"> e alle </w:t>
      </w:r>
      <w:r w:rsidRPr="00853B2F">
        <w:rPr>
          <w:i/>
        </w:rPr>
        <w:t>decisioni istitutive dei tribunali specializzate</w:t>
      </w:r>
      <w:r w:rsidRPr="00067EB0">
        <w:t xml:space="preserve"> (su cui </w:t>
      </w:r>
      <w:r w:rsidRPr="00853B2F">
        <w:rPr>
          <w:i/>
        </w:rPr>
        <w:t>infra</w:t>
      </w:r>
      <w:r w:rsidRPr="00067EB0">
        <w:t xml:space="preserve">, rispettivamente, </w:t>
      </w:r>
      <w:proofErr w:type="spellStart"/>
      <w:r w:rsidRPr="00067EB0">
        <w:t>parr</w:t>
      </w:r>
      <w:proofErr w:type="spellEnd"/>
      <w:r w:rsidRPr="00067EB0">
        <w:t xml:space="preserve">. 5 e 6). Si tratta di atti atipici nella sostanza, in quanto caratterizzati dallo stesso </w:t>
      </w:r>
      <w:proofErr w:type="spellStart"/>
      <w:r w:rsidRPr="00853B2F">
        <w:rPr>
          <w:i/>
        </w:rPr>
        <w:t>nomen</w:t>
      </w:r>
      <w:proofErr w:type="spellEnd"/>
      <w:r w:rsidRPr="00853B2F">
        <w:rPr>
          <w:i/>
        </w:rPr>
        <w:t xml:space="preserve"> iuris</w:t>
      </w:r>
      <w:r w:rsidRPr="00067EB0">
        <w:t xml:space="preserve"> della fonte tipica (regolamento) di cui all</w:t>
      </w:r>
      <w:r w:rsidR="00D04C06" w:rsidRPr="00067EB0">
        <w:t>’</w:t>
      </w:r>
      <w:r w:rsidRPr="00067EB0">
        <w:t>art. 288 TFUE, ma completamente differenti nel contenuto.</w:t>
      </w:r>
    </w:p>
    <w:p w14:paraId="0E203E2A" w14:textId="1E45CD5A" w:rsidR="00CC6E33" w:rsidRPr="00067EB0" w:rsidRDefault="00CC6E33" w:rsidP="00067EB0">
      <w:pPr>
        <w:pStyle w:val="Capoverso"/>
      </w:pPr>
      <w:r w:rsidRPr="00067EB0">
        <w:t xml:space="preserve">Quanto poi alle fonti di </w:t>
      </w:r>
      <w:r w:rsidRPr="00853B2F">
        <w:rPr>
          <w:i/>
        </w:rPr>
        <w:t>diritto derivato</w:t>
      </w:r>
      <w:r w:rsidRPr="00067EB0">
        <w:t xml:space="preserve">, la disciplina del processo è dettata dai </w:t>
      </w:r>
      <w:r w:rsidRPr="00853B2F">
        <w:rPr>
          <w:i/>
        </w:rPr>
        <w:t>regolamenti di procedura</w:t>
      </w:r>
      <w:r w:rsidRPr="00067EB0">
        <w:t xml:space="preserve"> dei diversi organi giurisdizionali. Configurabili sul piano formale anch</w:t>
      </w:r>
      <w:r w:rsidR="00D04C06" w:rsidRPr="00067EB0">
        <w:t>’</w:t>
      </w:r>
      <w:r w:rsidRPr="00067EB0">
        <w:t xml:space="preserve">essi quali atti atipici nella sostanza, essi occupano una posizione subordinata nella gerarchia delle fonti rispetto alle norme sinora analizzate. La loro atipicità è confermata dalla circostanza che, in ipotesi eccezionali, disposizioni regolamentari hanno di fatto derogato a norme statutarie. </w:t>
      </w:r>
    </w:p>
    <w:p w14:paraId="62E2D9DB" w14:textId="0403F7CB" w:rsidR="00D04C06" w:rsidRPr="00067EB0" w:rsidRDefault="00CC6E33" w:rsidP="00067EB0">
      <w:pPr>
        <w:pStyle w:val="Capoverso"/>
      </w:pPr>
      <w:r w:rsidRPr="00067EB0">
        <w:t>Ogni organo giurisdizionale è abilitato dal TFUE a stabilire il proprio rego</w:t>
      </w:r>
      <w:r w:rsidRPr="00067EB0">
        <w:lastRenderedPageBreak/>
        <w:t>lamento di procedura (il Tribunale e i tribunali specializzati “</w:t>
      </w:r>
      <w:r w:rsidRPr="00853B2F">
        <w:rPr>
          <w:i/>
          <w:iCs/>
        </w:rPr>
        <w:t>di concerto</w:t>
      </w:r>
      <w:r w:rsidRPr="00067EB0">
        <w:t>” con la Corte di giustizia, che svolge a tal fine una funzione di coordinamento e garanzia dell</w:t>
      </w:r>
      <w:r w:rsidR="00D04C06" w:rsidRPr="00067EB0">
        <w:t>’</w:t>
      </w:r>
      <w:r w:rsidRPr="00067EB0">
        <w:t>uniformità del sistema processuale), che viene poi approvato dal Consiglio a maggioranza qualificata</w:t>
      </w:r>
      <w:r w:rsidR="00557599" w:rsidRPr="00557599">
        <w:rPr>
          <w:rStyle w:val="Rimandonotaapidipagina"/>
        </w:rPr>
        <w:t> </w:t>
      </w:r>
      <w:r w:rsidR="00557599" w:rsidRPr="00557599">
        <w:rPr>
          <w:rStyle w:val="Rimandonotaapidipagina"/>
        </w:rPr>
        <w:footnoteReference w:id="20"/>
      </w:r>
      <w:r w:rsidRPr="00067EB0">
        <w:t xml:space="preserve"> (cfr. art. 253 per la Corte di giustizia; art. 254 per il Tribunale e art. 257 per i tribunali specializzati). Così, in concreto, la disciplina del sistema processuale si rinviene oggi nel reg. proc. Corte</w:t>
      </w:r>
      <w:r w:rsidR="00557599" w:rsidRPr="00557599">
        <w:rPr>
          <w:rStyle w:val="Rimandonotaapidipagina"/>
        </w:rPr>
        <w:t> </w:t>
      </w:r>
      <w:r w:rsidR="00557599" w:rsidRPr="00557599">
        <w:rPr>
          <w:rStyle w:val="Rimandonotaapidipagina"/>
        </w:rPr>
        <w:footnoteReference w:id="21"/>
      </w:r>
      <w:r w:rsidRPr="00860493">
        <w:t xml:space="preserve"> </w:t>
      </w:r>
      <w:r w:rsidRPr="00067EB0">
        <w:t xml:space="preserve">e </w:t>
      </w:r>
      <w:r w:rsidR="00156309">
        <w:t>nel</w:t>
      </w:r>
      <w:r w:rsidRPr="00067EB0">
        <w:t xml:space="preserve"> reg. proc. </w:t>
      </w:r>
      <w:proofErr w:type="spellStart"/>
      <w:r w:rsidRPr="00067EB0">
        <w:t>Trib</w:t>
      </w:r>
      <w:proofErr w:type="spellEnd"/>
      <w:r w:rsidRPr="00067EB0">
        <w:t>.</w:t>
      </w:r>
      <w:r w:rsidR="00557599" w:rsidRPr="00557599">
        <w:rPr>
          <w:rStyle w:val="Rimandonotaapidipagina"/>
        </w:rPr>
        <w:t> </w:t>
      </w:r>
      <w:r w:rsidR="00557599" w:rsidRPr="00557599">
        <w:rPr>
          <w:rStyle w:val="Rimandonotaapidipagina"/>
        </w:rPr>
        <w:footnoteReference w:id="22"/>
      </w:r>
      <w:r w:rsidRPr="00067EB0">
        <w:t>, in assenza, al momento, di tribunali specializzati</w:t>
      </w:r>
      <w:r w:rsidR="00557599" w:rsidRPr="00557599">
        <w:rPr>
          <w:rStyle w:val="Rimandonotaapidipagina"/>
        </w:rPr>
        <w:t> </w:t>
      </w:r>
      <w:r w:rsidR="00557599" w:rsidRPr="00557599">
        <w:rPr>
          <w:rStyle w:val="Rimandonotaapidipagina"/>
        </w:rPr>
        <w:footnoteReference w:id="23"/>
      </w:r>
      <w:r w:rsidRPr="00067EB0">
        <w:t>.</w:t>
      </w:r>
    </w:p>
    <w:p w14:paraId="69333978" w14:textId="20BF41DE" w:rsidR="00CC6E33" w:rsidRPr="00067EB0" w:rsidRDefault="00CC6E33" w:rsidP="00067EB0">
      <w:pPr>
        <w:pStyle w:val="Capoverso"/>
      </w:pPr>
      <w:r w:rsidRPr="00067EB0">
        <w:t xml:space="preserve">Tra le fonti di diritto derivato va ancora annoverato il c.d. </w:t>
      </w:r>
      <w:r w:rsidRPr="00853B2F">
        <w:rPr>
          <w:i/>
        </w:rPr>
        <w:t>regolamento integrativo</w:t>
      </w:r>
      <w:r w:rsidRPr="00067EB0">
        <w:t>, che si aggiunge al reg. proc. Corte di giustizia e avente ad oggetto la disciplina delle rogatorie, del gratuito patrocinio e della denuncia per violazione del giuramento dei testimoni e periti</w:t>
      </w:r>
      <w:r w:rsidR="00557599" w:rsidRPr="00557599">
        <w:rPr>
          <w:rStyle w:val="Rimandonotaapidipagina"/>
        </w:rPr>
        <w:t> </w:t>
      </w:r>
      <w:r w:rsidR="00557599" w:rsidRPr="00557599">
        <w:rPr>
          <w:rStyle w:val="Rimandonotaapidipagina"/>
        </w:rPr>
        <w:footnoteReference w:id="24"/>
      </w:r>
      <w:r w:rsidRPr="00067EB0">
        <w:t>.</w:t>
      </w:r>
    </w:p>
    <w:p w14:paraId="6D3092D3" w14:textId="39EA72F9" w:rsidR="00CC6E33" w:rsidRDefault="00CC6E33" w:rsidP="00067EB0">
      <w:pPr>
        <w:pStyle w:val="Capoverso"/>
      </w:pPr>
      <w:r w:rsidRPr="00067EB0">
        <w:t xml:space="preserve">Quanto, infine, agli </w:t>
      </w:r>
      <w:r w:rsidRPr="00853B2F">
        <w:rPr>
          <w:i/>
        </w:rPr>
        <w:t>atti</w:t>
      </w:r>
      <w:r w:rsidRPr="00067EB0">
        <w:t xml:space="preserve"> di </w:t>
      </w:r>
      <w:r w:rsidRPr="00853B2F">
        <w:rPr>
          <w:i/>
        </w:rPr>
        <w:t xml:space="preserve">soft </w:t>
      </w:r>
      <w:proofErr w:type="spellStart"/>
      <w:r w:rsidRPr="00853B2F">
        <w:rPr>
          <w:i/>
        </w:rPr>
        <w:t>law</w:t>
      </w:r>
      <w:proofErr w:type="spellEnd"/>
      <w:r w:rsidRPr="00067EB0">
        <w:t>, sorti dalla prassi e pertanto come strumenti “non codificati”, alcuni di essi trovano oggi una base giuridica esplicita nell</w:t>
      </w:r>
      <w:r w:rsidR="00D04C06" w:rsidRPr="00067EB0">
        <w:t>’</w:t>
      </w:r>
      <w:r w:rsidRPr="00067EB0">
        <w:t>art. 208 reg. proc. Corte e nell</w:t>
      </w:r>
      <w:r w:rsidR="00D04C06" w:rsidRPr="00067EB0">
        <w:t>’</w:t>
      </w:r>
      <w:r w:rsidRPr="00067EB0">
        <w:t xml:space="preserve">art. 224 reg. proc. </w:t>
      </w:r>
      <w:proofErr w:type="spellStart"/>
      <w:r w:rsidRPr="00067EB0">
        <w:t>Trib</w:t>
      </w:r>
      <w:proofErr w:type="spellEnd"/>
      <w:r w:rsidRPr="00067EB0">
        <w:t>.</w:t>
      </w:r>
      <w:r w:rsidR="00557599" w:rsidRPr="00557599">
        <w:rPr>
          <w:rStyle w:val="Rimandonotaapidipagina"/>
        </w:rPr>
        <w:t> </w:t>
      </w:r>
      <w:r w:rsidR="00557599" w:rsidRPr="00557599">
        <w:rPr>
          <w:rStyle w:val="Rimandonotaapidipagina"/>
        </w:rPr>
        <w:footnoteReference w:id="25"/>
      </w:r>
      <w:r w:rsidRPr="00067EB0">
        <w:t xml:space="preserve">. In applicazione di queste regole abilitanti, la Corte ha adottato le </w:t>
      </w:r>
      <w:r w:rsidRPr="00853B2F">
        <w:rPr>
          <w:i/>
        </w:rPr>
        <w:t>Istruzioni pratiche alle parti, relative alle cause proposte dinanzi alla Corte</w:t>
      </w:r>
      <w:r w:rsidR="00557599" w:rsidRPr="00557599">
        <w:rPr>
          <w:rStyle w:val="Rimandonotaapidipagina"/>
          <w:iCs/>
        </w:rPr>
        <w:t> </w:t>
      </w:r>
      <w:r w:rsidR="00557599" w:rsidRPr="00557599">
        <w:rPr>
          <w:rStyle w:val="Rimandonotaapidipagina"/>
          <w:iCs/>
        </w:rPr>
        <w:footnoteReference w:id="26"/>
      </w:r>
      <w:r w:rsidRPr="00853B2F">
        <w:rPr>
          <w:i/>
        </w:rPr>
        <w:t>,</w:t>
      </w:r>
      <w:r w:rsidRPr="00067EB0">
        <w:t xml:space="preserve"> ed il Tribunale le </w:t>
      </w:r>
      <w:r w:rsidRPr="00853B2F">
        <w:rPr>
          <w:i/>
        </w:rPr>
        <w:t>Norme pra</w:t>
      </w:r>
      <w:r w:rsidRPr="00853B2F">
        <w:rPr>
          <w:i/>
        </w:rPr>
        <w:lastRenderedPageBreak/>
        <w:t>tiche di esecuzione del regolamento di procedura del tribunale</w:t>
      </w:r>
      <w:r w:rsidR="00557599" w:rsidRPr="00557599">
        <w:rPr>
          <w:rStyle w:val="Rimandonotaapidipagina"/>
        </w:rPr>
        <w:t> </w:t>
      </w:r>
      <w:r w:rsidR="00557599" w:rsidRPr="00557599">
        <w:rPr>
          <w:rStyle w:val="Rimandonotaapidipagina"/>
        </w:rPr>
        <w:footnoteReference w:id="27"/>
      </w:r>
      <w:r w:rsidRPr="00067EB0">
        <w:t>. Come precisato dalla Corte di giustizia</w:t>
      </w:r>
      <w:r w:rsidR="00557599" w:rsidRPr="00557599">
        <w:rPr>
          <w:rStyle w:val="Rimandonotaapidipagina"/>
        </w:rPr>
        <w:t> </w:t>
      </w:r>
      <w:r w:rsidR="00557599" w:rsidRPr="00557599">
        <w:rPr>
          <w:rStyle w:val="Rimandonotaapidipagina"/>
        </w:rPr>
        <w:footnoteReference w:id="28"/>
      </w:r>
      <w:r w:rsidRPr="00067EB0">
        <w:t>, tali Istruzioni, applicabili a tutte le categorie di cause di cui essa è investita, non mirano a sostituirsi o a modificare le disposizioni in materia contenute nello Statuto e nel regolamento di procedura, avendo piuttosto lo scopo di consentire alle parti e ai loro rappresentanti di intendere meglio la portata di tali disposizioni e di comprendere con maggior precisione lo svolgimento del procedimento dinanzi alla Corte. Aggiunge quindi la Corte che il rispetto e l</w:t>
      </w:r>
      <w:r w:rsidR="00D04C06" w:rsidRPr="00067EB0">
        <w:t>’</w:t>
      </w:r>
      <w:r w:rsidRPr="00067EB0">
        <w:t>osservanza delle istruzioni costituiscono, tanto per le parti quanto per la Corte, la migliore garanzia di un trattamento ottimale delle cause da parte dell</w:t>
      </w:r>
      <w:r w:rsidR="00D04C06" w:rsidRPr="00067EB0">
        <w:t>’</w:t>
      </w:r>
      <w:r w:rsidRPr="00067EB0">
        <w:t>organo giurisdizionale.</w:t>
      </w:r>
    </w:p>
    <w:p w14:paraId="139804A2" w14:textId="139ED216" w:rsidR="000101D8" w:rsidRPr="00067EB0" w:rsidRDefault="000101D8" w:rsidP="00067EB0">
      <w:pPr>
        <w:pStyle w:val="Capoverso"/>
      </w:pPr>
      <w:r w:rsidRPr="00DF624F">
        <w:rPr>
          <w:spacing w:val="1"/>
        </w:rPr>
        <w:t xml:space="preserve">Pur trattandosi di </w:t>
      </w:r>
      <w:r w:rsidRPr="00DF624F">
        <w:rPr>
          <w:iCs/>
          <w:spacing w:val="1"/>
        </w:rPr>
        <w:t>atti privi di portata normativa e quindi non vincolanti</w:t>
      </w:r>
      <w:r w:rsidRPr="00DF624F">
        <w:rPr>
          <w:spacing w:val="1"/>
        </w:rPr>
        <w:t>, la garanzia del loro rispetto è rimessa, sia alla Corte che al Tribunale, al</w:t>
      </w:r>
      <w:r>
        <w:rPr>
          <w:spacing w:val="1"/>
        </w:rPr>
        <w:t xml:space="preserve"> rispettivo</w:t>
      </w:r>
      <w:r w:rsidRPr="00DF624F">
        <w:rPr>
          <w:spacing w:val="1"/>
        </w:rPr>
        <w:t xml:space="preserve"> </w:t>
      </w:r>
      <w:r w:rsidRPr="00DF624F">
        <w:rPr>
          <w:i/>
          <w:spacing w:val="1"/>
        </w:rPr>
        <w:t>cancelliere</w:t>
      </w:r>
      <w:r w:rsidRPr="00DF624F">
        <w:rPr>
          <w:spacing w:val="1"/>
        </w:rPr>
        <w:t xml:space="preserve">, che è quindi tenuto a verificare che le indicazioni contenute nei documenti in parola siano “seguite” dalle parti e a invitare le stesse alla </w:t>
      </w:r>
      <w:r w:rsidRPr="00DF624F">
        <w:rPr>
          <w:i/>
          <w:iCs/>
          <w:spacing w:val="1"/>
        </w:rPr>
        <w:t>regolarizzazione</w:t>
      </w:r>
      <w:r w:rsidRPr="00DF624F">
        <w:rPr>
          <w:spacing w:val="1"/>
        </w:rPr>
        <w:t xml:space="preserve"> dei loro atti ove ad esse non conformi: il mancato rispetto delle istruzioni non implica la decadenza della parte, ma se essa non procede a regolarizzare la propria posizione neppure dopo l’invito del cancelliere, quest’ultimo </w:t>
      </w:r>
      <w:r w:rsidRPr="00DF624F">
        <w:rPr>
          <w:i/>
          <w:spacing w:val="1"/>
        </w:rPr>
        <w:t>può</w:t>
      </w:r>
      <w:r w:rsidRPr="00DF624F">
        <w:rPr>
          <w:spacing w:val="1"/>
        </w:rPr>
        <w:t xml:space="preserve"> rifiutare il deposito dei documenti allegati all’atto presentato in forma irregolare e non regolarizzato. </w:t>
      </w:r>
    </w:p>
    <w:p w14:paraId="4943C542" w14:textId="2322B6B3" w:rsidR="00D04C06" w:rsidRPr="00067EB0" w:rsidRDefault="00CC6E33" w:rsidP="00067EB0">
      <w:pPr>
        <w:pStyle w:val="Capoverso"/>
      </w:pPr>
      <w:r w:rsidRPr="00067EB0">
        <w:t xml:space="preserve">Queste disposizioni assumono, in ultima analisi, una portata para– normativa in quanto finalizzate ad integrare le disposizioni dei regolamenti di procedura. Lo stesso non può dirsi, invece, per ulteriori documenti </w:t>
      </w:r>
      <w:r w:rsidRPr="00853B2F">
        <w:rPr>
          <w:i/>
        </w:rPr>
        <w:t xml:space="preserve">lato </w:t>
      </w:r>
      <w:proofErr w:type="spellStart"/>
      <w:r w:rsidRPr="00853B2F">
        <w:rPr>
          <w:i/>
        </w:rPr>
        <w:t>sensu</w:t>
      </w:r>
      <w:proofErr w:type="spellEnd"/>
      <w:r w:rsidRPr="00067EB0">
        <w:t xml:space="preserve"> “processuali” adottati dalle corti dell</w:t>
      </w:r>
      <w:r w:rsidR="00D04C06" w:rsidRPr="00067EB0">
        <w:t>’</w:t>
      </w:r>
      <w:r w:rsidRPr="00067EB0">
        <w:t xml:space="preserve">Unione, per i quali la qualifica di atti di </w:t>
      </w:r>
      <w:r w:rsidRPr="00853B2F">
        <w:rPr>
          <w:i/>
          <w:iCs/>
        </w:rPr>
        <w:t xml:space="preserve">soft </w:t>
      </w:r>
      <w:proofErr w:type="spellStart"/>
      <w:r w:rsidRPr="00853B2F">
        <w:rPr>
          <w:i/>
          <w:iCs/>
        </w:rPr>
        <w:t>law</w:t>
      </w:r>
      <w:proofErr w:type="spellEnd"/>
      <w:r w:rsidRPr="00067EB0">
        <w:t xml:space="preserve"> appare più appropriata. Tra di essi, assumono rilievo soprattutto le </w:t>
      </w:r>
      <w:r w:rsidRPr="00853B2F">
        <w:rPr>
          <w:i/>
        </w:rPr>
        <w:t>Raccomandazioni al</w:t>
      </w:r>
      <w:r w:rsidR="00DF624F">
        <w:rPr>
          <w:i/>
        </w:rPr>
        <w:softHyphen/>
      </w:r>
      <w:r w:rsidRPr="00853B2F">
        <w:rPr>
          <w:i/>
        </w:rPr>
        <w:t>l</w:t>
      </w:r>
      <w:r w:rsidR="00D04C06" w:rsidRPr="00853B2F">
        <w:rPr>
          <w:i/>
        </w:rPr>
        <w:t>’</w:t>
      </w:r>
      <w:r w:rsidRPr="00853B2F">
        <w:rPr>
          <w:i/>
        </w:rPr>
        <w:t>attenzione dei giudici nazionali, relative alla presentazione di domande di pronuncia pregiudiziale</w:t>
      </w:r>
      <w:r w:rsidR="00557599" w:rsidRPr="00557599">
        <w:rPr>
          <w:rStyle w:val="Rimandonotaapidipagina"/>
        </w:rPr>
        <w:t> </w:t>
      </w:r>
      <w:r w:rsidR="00557599" w:rsidRPr="00557599">
        <w:rPr>
          <w:rStyle w:val="Rimandonotaapidipagina"/>
        </w:rPr>
        <w:footnoteReference w:id="29"/>
      </w:r>
      <w:r w:rsidRPr="00067EB0">
        <w:t>. Strumento di utilissima consultazione al fine di un uso ottimale dello strumento del rinvio pregiudiziale da parte dei giudici degli Stati membri, le Raccomandazioni riprendono le disposizioni del titolo terzo del reg. proc. Corte, richiamando le caratteristiche essenziali del procedimento pregiudiziale e gli elementi dei quali devono tener conto i giudici nazionali prima di adire la Corte, fornendo loro indicazioni pratiche sulla forma e sul contenuto delle domande di pronuncia pregiudiziale in maniera da evitare il rischio che i quesiti siano dichiarati irricevibili in quanto, ad esempio, l</w:t>
      </w:r>
      <w:r w:rsidR="00D04C06" w:rsidRPr="00067EB0">
        <w:t>’</w:t>
      </w:r>
      <w:r w:rsidRPr="00067EB0">
        <w:t>ordinanza di rimessione non contiene elementi di fatto o di diritto sufficienti per un utile risposta da parte della Corte.</w:t>
      </w:r>
    </w:p>
    <w:p w14:paraId="5D096F40" w14:textId="0A376D46" w:rsidR="00D04C06" w:rsidRPr="00067EB0" w:rsidRDefault="00CC6E33" w:rsidP="00067EB0">
      <w:pPr>
        <w:pStyle w:val="Capoverso"/>
      </w:pPr>
      <w:r w:rsidRPr="00A32F64">
        <w:rPr>
          <w:spacing w:val="-2"/>
        </w:rPr>
        <w:t xml:space="preserve">Meritano infine un richiamo la Decisione della Corte di giustizia, </w:t>
      </w:r>
      <w:r w:rsidR="0086039B" w:rsidRPr="00A32F64">
        <w:rPr>
          <w:spacing w:val="-2"/>
        </w:rPr>
        <w:t xml:space="preserve">n. </w:t>
      </w:r>
      <w:r w:rsidR="0086039B" w:rsidRPr="00A32F64">
        <w:rPr>
          <w:spacing w:val="-2"/>
        </w:rPr>
        <w:lastRenderedPageBreak/>
        <w:t>2012/671</w:t>
      </w:r>
      <w:r w:rsidR="0086039B">
        <w:t xml:space="preserve"> </w:t>
      </w:r>
      <w:r w:rsidRPr="00067EB0">
        <w:t>del 23 ottobre 2012,</w:t>
      </w:r>
      <w:r w:rsidRPr="00853B2F">
        <w:rPr>
          <w:i/>
        </w:rPr>
        <w:t xml:space="preserve"> relativa alle funzioni giurisdizionali del vicepresidente della Corte</w:t>
      </w:r>
      <w:r w:rsidRPr="00067EB0">
        <w:t xml:space="preserve">; la Decisione (della Corte di giustizia, </w:t>
      </w:r>
      <w:r w:rsidR="0086039B">
        <w:t xml:space="preserve">n. </w:t>
      </w:r>
      <w:r w:rsidR="0086039B" w:rsidRPr="0086039B">
        <w:t xml:space="preserve">2016/2386 </w:t>
      </w:r>
      <w:r w:rsidRPr="00067EB0">
        <w:t>del 20 settembre 2016</w:t>
      </w:r>
      <w:r w:rsidR="0086039B">
        <w:t>,</w:t>
      </w:r>
      <w:r w:rsidRPr="00853B2F">
        <w:rPr>
          <w:i/>
        </w:rPr>
        <w:t xml:space="preserve"> relativa alle norme di sicurezza applicabili alle informazioni o agli atti prodotti dinanzi al Tribunale ai sensi dell</w:t>
      </w:r>
      <w:r w:rsidR="00D04C06" w:rsidRPr="00853B2F">
        <w:rPr>
          <w:i/>
        </w:rPr>
        <w:t>’</w:t>
      </w:r>
      <w:r w:rsidRPr="00853B2F">
        <w:rPr>
          <w:i/>
        </w:rPr>
        <w:t>articolo 105 del suo regolamento di procedura</w:t>
      </w:r>
      <w:r w:rsidRPr="00067EB0">
        <w:t xml:space="preserve">; la Decisione della Corte di giustizia, </w:t>
      </w:r>
      <w:r w:rsidR="000101D8">
        <w:t xml:space="preserve">n. 2024/2490 </w:t>
      </w:r>
      <w:r w:rsidR="000101D8" w:rsidRPr="000101D8">
        <w:rPr>
          <w:bCs/>
        </w:rPr>
        <w:t>del 4 settembre 2024</w:t>
      </w:r>
      <w:r w:rsidR="000101D8" w:rsidRPr="000101D8">
        <w:rPr>
          <w:b/>
          <w:bCs/>
        </w:rPr>
        <w:t xml:space="preserve">, </w:t>
      </w:r>
      <w:r w:rsidRPr="00853B2F">
        <w:rPr>
          <w:i/>
        </w:rPr>
        <w:t>relativa al deposito e alla notifica di atti di procedura mediante l</w:t>
      </w:r>
      <w:r w:rsidR="00D04C06" w:rsidRPr="00853B2F">
        <w:rPr>
          <w:i/>
        </w:rPr>
        <w:t>’</w:t>
      </w:r>
      <w:r w:rsidRPr="00853B2F">
        <w:rPr>
          <w:i/>
        </w:rPr>
        <w:t>applicazione e– Curia</w:t>
      </w:r>
      <w:r w:rsidRPr="00067EB0">
        <w:t>, tutti documenti rinvenibili sul sito della Corte di giustizia (</w:t>
      </w:r>
      <w:r w:rsidRPr="00853B2F">
        <w:rPr>
          <w:i/>
        </w:rPr>
        <w:t>www.curia.eu</w:t>
      </w:r>
      <w:r w:rsidR="0030581D">
        <w:rPr>
          <w:i/>
        </w:rPr>
        <w:br/>
      </w:r>
      <w:r w:rsidRPr="00853B2F">
        <w:rPr>
          <w:i/>
        </w:rPr>
        <w:t>ropa.eu</w:t>
      </w:r>
      <w:r w:rsidRPr="00067EB0">
        <w:t>)</w:t>
      </w:r>
      <w:r w:rsidR="00557599" w:rsidRPr="00557599">
        <w:rPr>
          <w:rStyle w:val="Rimandonotaapidipagina"/>
        </w:rPr>
        <w:t> </w:t>
      </w:r>
      <w:r w:rsidR="00557599" w:rsidRPr="00557599">
        <w:rPr>
          <w:rStyle w:val="Rimandonotaapidipagina"/>
        </w:rPr>
        <w:footnoteReference w:id="30"/>
      </w:r>
      <w:r w:rsidRPr="00067EB0">
        <w:t>.</w:t>
      </w:r>
    </w:p>
    <w:p w14:paraId="0F57CD67" w14:textId="167832B3" w:rsidR="00CC6E33" w:rsidRPr="00963945" w:rsidRDefault="00D61682" w:rsidP="00676871">
      <w:pPr>
        <w:pStyle w:val="Paragrafo"/>
        <w:rPr>
          <w:szCs w:val="24"/>
        </w:rPr>
      </w:pPr>
      <w:r>
        <w:t xml:space="preserve">3. </w:t>
      </w:r>
      <w:r w:rsidR="00CC6E33" w:rsidRPr="00164B22">
        <w:t>I confini della giurisdizione del giudice dell</w:t>
      </w:r>
      <w:r w:rsidR="00D04C06">
        <w:t>’</w:t>
      </w:r>
      <w:r w:rsidR="00CC6E33" w:rsidRPr="00164B22">
        <w:t>Unione: il rapporto con i giudici nazionali e la ripartizione di competenze “interne” tra le corti europee</w:t>
      </w:r>
    </w:p>
    <w:p w14:paraId="366FADF4" w14:textId="3ECA240B" w:rsidR="00CC6E33" w:rsidRPr="00067EB0" w:rsidRDefault="00CC6E33" w:rsidP="00067EB0">
      <w:pPr>
        <w:pStyle w:val="Capoverso"/>
      </w:pPr>
      <w:r w:rsidRPr="00067EB0">
        <w:t>In merito all</w:t>
      </w:r>
      <w:r w:rsidR="00D04C06" w:rsidRPr="00067EB0">
        <w:t>’</w:t>
      </w:r>
      <w:r w:rsidRPr="00067EB0">
        <w:t>ampiezza della giurisdizione della Corte di giustizia dell</w:t>
      </w:r>
      <w:r w:rsidR="00D04C06" w:rsidRPr="00067EB0">
        <w:t>’</w:t>
      </w:r>
      <w:r w:rsidRPr="00067EB0">
        <w:t>Unione europea va in primo luogo ricordato che essa, come di regola per tutte le istituzioni dell</w:t>
      </w:r>
      <w:r w:rsidR="00D04C06" w:rsidRPr="00067EB0">
        <w:t>’</w:t>
      </w:r>
      <w:r w:rsidRPr="00067EB0">
        <w:t>Unione</w:t>
      </w:r>
      <w:r w:rsidR="00557599" w:rsidRPr="00557599">
        <w:rPr>
          <w:rStyle w:val="Rimandonotaapidipagina"/>
        </w:rPr>
        <w:t> </w:t>
      </w:r>
      <w:r w:rsidR="00557599" w:rsidRPr="00557599">
        <w:rPr>
          <w:rStyle w:val="Rimandonotaapidipagina"/>
        </w:rPr>
        <w:footnoteReference w:id="31"/>
      </w:r>
      <w:r w:rsidRPr="00067EB0">
        <w:t xml:space="preserve">, è dotata di </w:t>
      </w:r>
      <w:r w:rsidRPr="00853B2F">
        <w:rPr>
          <w:i/>
        </w:rPr>
        <w:t>competenze di attribuzione</w:t>
      </w:r>
      <w:r w:rsidRPr="00067EB0">
        <w:t>, espressamente conferite dai trattati.</w:t>
      </w:r>
    </w:p>
    <w:p w14:paraId="1D9D1DE8" w14:textId="32CAB89A" w:rsidR="00D04C06" w:rsidRPr="00067EB0" w:rsidRDefault="00CC6E33" w:rsidP="00067EB0">
      <w:pPr>
        <w:pStyle w:val="Capoverso"/>
      </w:pPr>
      <w:r w:rsidRPr="00067EB0">
        <w:t>Al di fuori delle specifiche competenze ad essa riconosciute, l</w:t>
      </w:r>
      <w:r w:rsidR="00D04C06" w:rsidRPr="00067EB0">
        <w:t>’</w:t>
      </w:r>
      <w:r w:rsidRPr="00067EB0">
        <w:t>interpretazione e l</w:t>
      </w:r>
      <w:r w:rsidR="00D04C06" w:rsidRPr="00067EB0">
        <w:t>’</w:t>
      </w:r>
      <w:r w:rsidRPr="00067EB0">
        <w:t>applicazione delle norme dell</w:t>
      </w:r>
      <w:r w:rsidR="00D04C06" w:rsidRPr="00067EB0">
        <w:t>’</w:t>
      </w:r>
      <w:r w:rsidRPr="00067EB0">
        <w:t>ordinamento dell</w:t>
      </w:r>
      <w:r w:rsidR="00D04C06" w:rsidRPr="00067EB0">
        <w:t>’</w:t>
      </w:r>
      <w:r w:rsidRPr="00067EB0">
        <w:t xml:space="preserve">Unione sono affidate ai </w:t>
      </w:r>
      <w:r w:rsidRPr="00853B2F">
        <w:rPr>
          <w:i/>
        </w:rPr>
        <w:t>giudici nazionali</w:t>
      </w:r>
      <w:r w:rsidRPr="00067EB0">
        <w:t>, enfaticamente (ma realisticamente) qualificati, secondo espressioni comunemente utilizzate dalla stessa giurisprudenza della Corte, come “giudici europei di diritto comune” ovvero come “giudici decentrati (o comuni) del diritto europeo”.</w:t>
      </w:r>
    </w:p>
    <w:p w14:paraId="146BF083" w14:textId="4345D589" w:rsidR="00CC6E33" w:rsidRPr="00067EB0" w:rsidRDefault="00CC6E33" w:rsidP="00067EB0">
      <w:pPr>
        <w:pStyle w:val="Capoverso"/>
      </w:pPr>
      <w:r w:rsidRPr="00067EB0">
        <w:t>L</w:t>
      </w:r>
      <w:r w:rsidR="00D04C06" w:rsidRPr="00067EB0">
        <w:t>’</w:t>
      </w:r>
      <w:r w:rsidRPr="00067EB0">
        <w:t>art. 274 TFUE conferma che, in assenza di esplicita attribuzione di competenza alla CGUE, le controversie nelle quali l</w:t>
      </w:r>
      <w:r w:rsidR="00D04C06" w:rsidRPr="00067EB0">
        <w:t>’</w:t>
      </w:r>
      <w:r w:rsidRPr="00067EB0">
        <w:t>Unione sia parte non sono sottratte alla competenza delle giurisdizioni nazionali. Ancora, con riguardo alle controversie tra Stati membri relative all</w:t>
      </w:r>
      <w:r w:rsidR="00D04C06" w:rsidRPr="00067EB0">
        <w:t>’</w:t>
      </w:r>
      <w:r w:rsidRPr="00067EB0">
        <w:t>interpretazione ed all</w:t>
      </w:r>
      <w:r w:rsidR="00D04C06" w:rsidRPr="00067EB0">
        <w:t>’</w:t>
      </w:r>
      <w:r w:rsidRPr="00067EB0">
        <w:t>applicazione dei trattati, l</w:t>
      </w:r>
      <w:r w:rsidR="00D04C06" w:rsidRPr="00067EB0">
        <w:t>’</w:t>
      </w:r>
      <w:r w:rsidRPr="00067EB0">
        <w:t xml:space="preserve">art. 344 TFUE precisa la natura </w:t>
      </w:r>
      <w:r w:rsidRPr="00853B2F">
        <w:rPr>
          <w:i/>
        </w:rPr>
        <w:t>esclusiva</w:t>
      </w:r>
      <w:r w:rsidRPr="00067EB0">
        <w:t xml:space="preserve"> della competenza della Corte, là dove ribadisce l</w:t>
      </w:r>
      <w:r w:rsidR="00D04C06" w:rsidRPr="00067EB0">
        <w:t>’</w:t>
      </w:r>
      <w:r w:rsidRPr="00067EB0">
        <w:t>impegno degli Stati membri a non sottoporre tali controversie a modi di composizione diversi da quelli previsti dai trattati stessi.</w:t>
      </w:r>
    </w:p>
    <w:p w14:paraId="6A805102" w14:textId="622DDB07" w:rsidR="00D04C06" w:rsidRPr="00067EB0" w:rsidRDefault="00CC6E33" w:rsidP="00067EB0">
      <w:pPr>
        <w:pStyle w:val="Capoverso"/>
      </w:pPr>
      <w:r w:rsidRPr="00067EB0">
        <w:t>Quanto alla ripartizione “interna” di competenze tra gli organi giurisdi</w:t>
      </w:r>
      <w:r w:rsidRPr="00067EB0">
        <w:lastRenderedPageBreak/>
        <w:t>zionali dell</w:t>
      </w:r>
      <w:r w:rsidR="00D04C06" w:rsidRPr="00067EB0">
        <w:t>’</w:t>
      </w:r>
      <w:r w:rsidRPr="00067EB0">
        <w:t>Unione, nel corso degli anni il sistema è stato più volte modificato per rispondere alle esigenze correlate al dinamismo del processo di integrazione euro</w:t>
      </w:r>
      <w:r w:rsidR="0030581D">
        <w:softHyphen/>
      </w:r>
      <w:r w:rsidRPr="00067EB0">
        <w:t>pea, caratterizzato, come noto, da una continua evoluzione sia dal punto di vista soggettivo (l</w:t>
      </w:r>
      <w:r w:rsidR="00D04C06" w:rsidRPr="00067EB0">
        <w:t>’</w:t>
      </w:r>
      <w:r w:rsidRPr="00067EB0">
        <w:t>allargamento a nuovi Stati membri), sia dal punto di vista oggettivo (l</w:t>
      </w:r>
      <w:r w:rsidR="00D04C06" w:rsidRPr="00067EB0">
        <w:t>’</w:t>
      </w:r>
      <w:r w:rsidRPr="00067EB0">
        <w:t>espansione delle competenze dell</w:t>
      </w:r>
      <w:r w:rsidR="00D04C06" w:rsidRPr="00067EB0">
        <w:t>’</w:t>
      </w:r>
      <w:r w:rsidRPr="00067EB0">
        <w:t>Unione a nuove materie). L</w:t>
      </w:r>
      <w:r w:rsidR="00D04C06" w:rsidRPr="00067EB0">
        <w:t>’</w:t>
      </w:r>
      <w:r w:rsidRPr="00067EB0">
        <w:t>architet</w:t>
      </w:r>
      <w:r w:rsidR="00DF624F">
        <w:softHyphen/>
      </w:r>
      <w:r w:rsidRPr="00067EB0">
        <w:t>tura giudiziaria dell</w:t>
      </w:r>
      <w:r w:rsidR="00D04C06" w:rsidRPr="00067EB0">
        <w:t>’</w:t>
      </w:r>
      <w:r w:rsidRPr="00067EB0">
        <w:t xml:space="preserve">Unione si articola così oggi in due organi giurisdizionali, </w:t>
      </w:r>
      <w:r w:rsidR="00352F17">
        <w:t>entrambi</w:t>
      </w:r>
      <w:r w:rsidRPr="00067EB0">
        <w:t xml:space="preserve"> con sede a Lussemburgo: alla </w:t>
      </w:r>
      <w:r w:rsidRPr="00853B2F">
        <w:rPr>
          <w:i/>
          <w:iCs/>
        </w:rPr>
        <w:t>Corte di giustizia</w:t>
      </w:r>
      <w:r w:rsidRPr="00067EB0">
        <w:t xml:space="preserve">, istituita nel 1951 come garante del rispetto del diritto nel sistema istituzionale comunitario, è stato infatti affiancato, nel 1988, il </w:t>
      </w:r>
      <w:r w:rsidRPr="00853B2F">
        <w:rPr>
          <w:i/>
          <w:iCs/>
        </w:rPr>
        <w:t>Tribunale di primo grado</w:t>
      </w:r>
      <w:r w:rsidRPr="00067EB0">
        <w:t>. Quest</w:t>
      </w:r>
      <w:r w:rsidR="00D04C06" w:rsidRPr="00067EB0">
        <w:t>’</w:t>
      </w:r>
      <w:r w:rsidRPr="00067EB0">
        <w:t xml:space="preserve">ultimo, successivamente rinominato semplicemente “Tribunale” e slegato dal rapporto “strutturale” con la Corte, è stato istituito al fine di introdurre, inizialmente per materie limitate e successivamente per gran parte del contenzioso, un </w:t>
      </w:r>
      <w:r w:rsidRPr="00853B2F">
        <w:rPr>
          <w:i/>
          <w:iCs/>
        </w:rPr>
        <w:t>doppio grado di giurisdizione</w:t>
      </w:r>
      <w:r w:rsidRPr="00067EB0">
        <w:t xml:space="preserve"> nelle azioni dinanzi al giudice dell</w:t>
      </w:r>
      <w:r w:rsidR="00D04C06" w:rsidRPr="00067EB0">
        <w:t>’</w:t>
      </w:r>
      <w:r w:rsidRPr="00067EB0">
        <w:t>Unione. A questi due organismi, le cui norme di base si rinvengono direttamente nei trattati, possono aggiungersi altre corti, i “tribunali specializzati”, la cui creazione è invece subordinata alla volontà del legislatore dell</w:t>
      </w:r>
      <w:r w:rsidR="00D04C06" w:rsidRPr="00067EB0">
        <w:t>’</w:t>
      </w:r>
      <w:r w:rsidRPr="00067EB0">
        <w:t>Unione, con l</w:t>
      </w:r>
      <w:r w:rsidR="00D04C06" w:rsidRPr="00067EB0">
        <w:t>’</w:t>
      </w:r>
      <w:r w:rsidRPr="00067EB0">
        <w:t>adozione di un apposito regolamento istitutivo, di attribuire ad un giudice speciale i contenziosi caratterizzati da un alto grado di specificità</w:t>
      </w:r>
      <w:r w:rsidR="00557599" w:rsidRPr="00557599">
        <w:rPr>
          <w:rStyle w:val="Rimandonotaapidipagina"/>
        </w:rPr>
        <w:t> </w:t>
      </w:r>
      <w:r w:rsidR="00557599" w:rsidRPr="00557599">
        <w:rPr>
          <w:rStyle w:val="Rimandonotaapidipagina"/>
        </w:rPr>
        <w:footnoteReference w:id="32"/>
      </w:r>
      <w:r w:rsidRPr="00067EB0">
        <w:t xml:space="preserve">. Il </w:t>
      </w:r>
      <w:r w:rsidRPr="00853B2F">
        <w:rPr>
          <w:i/>
        </w:rPr>
        <w:t>Tribunale della funzione pubblica</w:t>
      </w:r>
      <w:r w:rsidRPr="00067EB0">
        <w:t>, unico tribunale specializzato sinora istituito nel 2004 per occuparsi del contenzioso “lavoristico” dei funzionari comunitari</w:t>
      </w:r>
      <w:r w:rsidR="00557599" w:rsidRPr="00557599">
        <w:rPr>
          <w:vertAlign w:val="superscript"/>
        </w:rPr>
        <w:t> </w:t>
      </w:r>
      <w:r w:rsidR="00557599" w:rsidRPr="00557599">
        <w:rPr>
          <w:vertAlign w:val="superscript"/>
        </w:rPr>
        <w:footnoteReference w:id="33"/>
      </w:r>
      <w:r w:rsidRPr="00067EB0">
        <w:t>, ha smesso di esercitare le proprie funzioni nel 2016, quando le sue competenze sono state (</w:t>
      </w:r>
      <w:proofErr w:type="spellStart"/>
      <w:r w:rsidRPr="00067EB0">
        <w:t>ri</w:t>
      </w:r>
      <w:proofErr w:type="spellEnd"/>
      <w:r w:rsidRPr="00067EB0">
        <w:t>)trasferite al Tribunale.</w:t>
      </w:r>
    </w:p>
    <w:p w14:paraId="0F218366" w14:textId="1E145B0D" w:rsidR="00CC6E33" w:rsidRPr="00067EB0" w:rsidRDefault="00CC6E33" w:rsidP="00067EB0">
      <w:pPr>
        <w:pStyle w:val="Capoverso"/>
      </w:pPr>
      <w:r w:rsidRPr="00067EB0">
        <w:t>In base al testo attuale dei trattati, quindi, opera nel quadro istituzionale del</w:t>
      </w:r>
      <w:r w:rsidR="00DF624F">
        <w:softHyphen/>
      </w:r>
      <w:r w:rsidRPr="00067EB0">
        <w:t>l</w:t>
      </w:r>
      <w:r w:rsidR="00D04C06" w:rsidRPr="00067EB0">
        <w:t>’</w:t>
      </w:r>
      <w:r w:rsidRPr="00067EB0">
        <w:t xml:space="preserve">Unione </w:t>
      </w:r>
      <w:r w:rsidRPr="00853B2F">
        <w:rPr>
          <w:i/>
        </w:rPr>
        <w:t>un</w:t>
      </w:r>
      <w:r w:rsidR="00D04C06" w:rsidRPr="00853B2F">
        <w:rPr>
          <w:i/>
        </w:rPr>
        <w:t>’</w:t>
      </w:r>
      <w:r w:rsidRPr="00853B2F">
        <w:rPr>
          <w:i/>
        </w:rPr>
        <w:t>unica istituzione giudiziaria</w:t>
      </w:r>
      <w:r w:rsidRPr="00067EB0">
        <w:t xml:space="preserve"> (la Corte di giustizia dell</w:t>
      </w:r>
      <w:r w:rsidR="00D04C06" w:rsidRPr="00067EB0">
        <w:t>’</w:t>
      </w:r>
      <w:r w:rsidRPr="00067EB0">
        <w:t xml:space="preserve">Unione europea, CGUE) che comprende la Corte di giustizia, il Tribunale e (potenzialmente) i tribunali specializzati. I tre organismi, del tutto </w:t>
      </w:r>
      <w:r w:rsidRPr="00853B2F">
        <w:rPr>
          <w:i/>
        </w:rPr>
        <w:t>distinti</w:t>
      </w:r>
      <w:r w:rsidRPr="00067EB0">
        <w:t xml:space="preserve"> per quel che concerne le rispettive competenze, la composizione e le regole di procedura, e pur </w:t>
      </w:r>
      <w:r w:rsidRPr="00067EB0">
        <w:rPr>
          <w:iCs/>
        </w:rPr>
        <w:t>funzionalmente posti in posizione gerarchica</w:t>
      </w:r>
      <w:r w:rsidRPr="00067EB0">
        <w:t xml:space="preserve"> (le decisioni dell</w:t>
      </w:r>
      <w:r w:rsidR="00D04C06" w:rsidRPr="00067EB0">
        <w:t>’</w:t>
      </w:r>
      <w:r w:rsidRPr="00067EB0">
        <w:t>organo “inferiore” sono impugnabili dinanzi a quello “superiore”), risultano comunque strettamente coordinati tra loro (si pensi, tra l</w:t>
      </w:r>
      <w:r w:rsidR="00D04C06" w:rsidRPr="00067EB0">
        <w:t>’</w:t>
      </w:r>
      <w:r w:rsidRPr="00067EB0">
        <w:t>altro, al menzionato intervento della Corte di giustizia nell</w:t>
      </w:r>
      <w:r w:rsidR="00D04C06" w:rsidRPr="00067EB0">
        <w:t>’</w:t>
      </w:r>
      <w:r w:rsidRPr="00067EB0">
        <w:t xml:space="preserve">elaborazione del reg. proc. </w:t>
      </w:r>
      <w:proofErr w:type="spellStart"/>
      <w:r w:rsidRPr="00067EB0">
        <w:t>Trib</w:t>
      </w:r>
      <w:proofErr w:type="spellEnd"/>
      <w:r w:rsidRPr="00067EB0">
        <w:t>.). Inoltre, alla sola Corte di giustizia viene riconosciuto un ruolo propositivo per la riforma dello Statuto della CGUE, anche nelle parti in cui quest</w:t>
      </w:r>
      <w:r w:rsidR="00D04C06" w:rsidRPr="00067EB0">
        <w:t>’</w:t>
      </w:r>
      <w:r w:rsidRPr="00067EB0">
        <w:t>ultimo disciplina le attività e la composizione del Tribunale (art. 281</w:t>
      </w:r>
      <w:r w:rsidR="000E3D39">
        <w:t xml:space="preserve">, </w:t>
      </w:r>
      <w:r w:rsidR="000E3D39" w:rsidRPr="00067EB0">
        <w:t>secondo comma</w:t>
      </w:r>
      <w:r w:rsidR="000E3D39">
        <w:t>,</w:t>
      </w:r>
      <w:r w:rsidR="000E3D39" w:rsidRPr="00067EB0">
        <w:t xml:space="preserve"> </w:t>
      </w:r>
      <w:r w:rsidRPr="00067EB0">
        <w:t>TFUE), nonché per la creazione di nuovi tribunali specializzati (art. 257</w:t>
      </w:r>
      <w:r w:rsidR="000E3D39">
        <w:t xml:space="preserve">, </w:t>
      </w:r>
      <w:r w:rsidR="000E3D39" w:rsidRPr="00067EB0">
        <w:t>primo comma</w:t>
      </w:r>
      <w:r w:rsidR="000E3D39">
        <w:t>,</w:t>
      </w:r>
      <w:r w:rsidR="000E3D39" w:rsidRPr="00067EB0">
        <w:t xml:space="preserve"> </w:t>
      </w:r>
      <w:r w:rsidRPr="00067EB0">
        <w:t>TFUE), creando così un certo disallineamento tra l</w:t>
      </w:r>
      <w:r w:rsidR="00D04C06" w:rsidRPr="00067EB0">
        <w:t>’</w:t>
      </w:r>
      <w:r w:rsidRPr="00067EB0">
        <w:t>istituzione nel suo complesso ed una delle sue componenti, alla quale vengono in tal modo riconosciuti e riservati ruoli istituzionali “autonomi”.</w:t>
      </w:r>
    </w:p>
    <w:p w14:paraId="2C9E2D66" w14:textId="23B0D000" w:rsidR="00D04C06" w:rsidRPr="00067EB0" w:rsidRDefault="00CC6E33" w:rsidP="00067EB0">
      <w:pPr>
        <w:pStyle w:val="Capoverso"/>
      </w:pPr>
      <w:r w:rsidRPr="00067EB0">
        <w:lastRenderedPageBreak/>
        <w:t xml:space="preserve">In ogni caso, il citato art. 19 TUE investe oggi </w:t>
      </w:r>
      <w:r w:rsidRPr="00067EB0">
        <w:rPr>
          <w:iCs/>
        </w:rPr>
        <w:t>la CGUE nel suo complesso</w:t>
      </w:r>
      <w:r w:rsidRPr="00067EB0">
        <w:t xml:space="preserve"> – quindi la Corte, il Tribunale nonché, eventualmente, i tribunali specializzati – del ruolo essenziale di garante, nell</w:t>
      </w:r>
      <w:r w:rsidR="00D04C06" w:rsidRPr="00067EB0">
        <w:t>’</w:t>
      </w:r>
      <w:r w:rsidRPr="00067EB0">
        <w:t>ordinamento dell</w:t>
      </w:r>
      <w:r w:rsidR="00D04C06" w:rsidRPr="00067EB0">
        <w:t>’</w:t>
      </w:r>
      <w:r w:rsidRPr="00067EB0">
        <w:t>Unione, del rispetto del diritto nell</w:t>
      </w:r>
      <w:r w:rsidR="00D04C06" w:rsidRPr="00067EB0">
        <w:t>’</w:t>
      </w:r>
      <w:r w:rsidRPr="00067EB0">
        <w:t>interpretazione e nell</w:t>
      </w:r>
      <w:r w:rsidR="00D04C06" w:rsidRPr="00067EB0">
        <w:t>’</w:t>
      </w:r>
      <w:r w:rsidRPr="00067EB0">
        <w:t xml:space="preserve">applicazione dei trattati, in tal modo meglio rispecchiando la revisione inerente </w:t>
      </w:r>
      <w:proofErr w:type="gramStart"/>
      <w:r w:rsidRPr="00067EB0">
        <w:t>le</w:t>
      </w:r>
      <w:proofErr w:type="gramEnd"/>
      <w:r w:rsidRPr="00067EB0">
        <w:t xml:space="preserve"> attribuzioni del Tribunale che</w:t>
      </w:r>
      <w:r w:rsidR="003E04D1">
        <w:t xml:space="preserve"> </w:t>
      </w:r>
      <w:r w:rsidRPr="00067EB0">
        <w:t>possono comprendere anche la cognizione delle questioni pregiudiziali.</w:t>
      </w:r>
    </w:p>
    <w:p w14:paraId="771F610F" w14:textId="07649D39" w:rsidR="00CC6E33" w:rsidRPr="00067EB0" w:rsidRDefault="00CC6E33" w:rsidP="00067EB0">
      <w:pPr>
        <w:pStyle w:val="Capoverso"/>
      </w:pPr>
      <w:r w:rsidRPr="00067EB0">
        <w:t>Muovendo da tali premesse, occorre evidenziare che il sistema di ripartizione di competenze tra gli organi giurisdizionali si articola su due piani distinti a seconda del tipo di controllo, diretto o indiretto, effettuato dal giudice sull</w:t>
      </w:r>
      <w:r w:rsidR="00D04C06" w:rsidRPr="00067EB0">
        <w:t>’</w:t>
      </w:r>
      <w:r w:rsidRPr="00067EB0">
        <w:t>attività delle istituzioni, degli organi e degli organismi dell</w:t>
      </w:r>
      <w:r w:rsidR="00D04C06" w:rsidRPr="00067EB0">
        <w:t>’</w:t>
      </w:r>
      <w:r w:rsidRPr="00067EB0">
        <w:t>Unione</w:t>
      </w:r>
      <w:r w:rsidR="00557599" w:rsidRPr="00557599">
        <w:rPr>
          <w:rStyle w:val="Rimandonotaapidipagina"/>
        </w:rPr>
        <w:t> </w:t>
      </w:r>
      <w:r w:rsidR="00557599" w:rsidRPr="00557599">
        <w:rPr>
          <w:rStyle w:val="Rimandonotaapidipagina"/>
        </w:rPr>
        <w:footnoteReference w:id="34"/>
      </w:r>
      <w:r w:rsidRPr="00067EB0">
        <w:t>.</w:t>
      </w:r>
    </w:p>
    <w:p w14:paraId="0422CEC3" w14:textId="3A32E75B" w:rsidR="00D04C06" w:rsidRPr="00067EB0" w:rsidRDefault="00CC6E33" w:rsidP="00067EB0">
      <w:pPr>
        <w:pStyle w:val="Capoverso"/>
      </w:pPr>
      <w:r w:rsidRPr="00067EB0">
        <w:t>Nell</w:t>
      </w:r>
      <w:r w:rsidR="00D04C06" w:rsidRPr="00067EB0">
        <w:t>’</w:t>
      </w:r>
      <w:r w:rsidRPr="00067EB0">
        <w:t xml:space="preserve">ambito del </w:t>
      </w:r>
      <w:r w:rsidRPr="00853B2F">
        <w:rPr>
          <w:i/>
        </w:rPr>
        <w:t>controllo giurisdizionale di tipo diretto</w:t>
      </w:r>
      <w:r w:rsidRPr="00067EB0">
        <w:t xml:space="preserve"> (“ ricorsi diretti”) sul</w:t>
      </w:r>
      <w:r w:rsidR="00DF624F">
        <w:softHyphen/>
      </w:r>
      <w:r w:rsidRPr="00067EB0">
        <w:t>l</w:t>
      </w:r>
      <w:r w:rsidR="00D04C06" w:rsidRPr="00067EB0">
        <w:t>’</w:t>
      </w:r>
      <w:r w:rsidRPr="00067EB0">
        <w:t>attività del potere pubblico dell</w:t>
      </w:r>
      <w:r w:rsidR="00D04C06" w:rsidRPr="00067EB0">
        <w:t>’</w:t>
      </w:r>
      <w:r w:rsidRPr="00067EB0">
        <w:t xml:space="preserve">Unione europea si è progressivamente consolidato il ruolo del </w:t>
      </w:r>
      <w:r w:rsidRPr="00853B2F">
        <w:rPr>
          <w:i/>
        </w:rPr>
        <w:t>Tribunale</w:t>
      </w:r>
      <w:r w:rsidRPr="00067EB0">
        <w:t xml:space="preserve"> quale </w:t>
      </w:r>
      <w:r w:rsidRPr="00853B2F">
        <w:rPr>
          <w:i/>
        </w:rPr>
        <w:t>giudice di primo grado a competenza generale</w:t>
      </w:r>
      <w:r w:rsidR="00557599" w:rsidRPr="00557599">
        <w:rPr>
          <w:rStyle w:val="Rimandonotaapidipagina"/>
          <w:iCs/>
        </w:rPr>
        <w:t> </w:t>
      </w:r>
      <w:r w:rsidR="00557599" w:rsidRPr="00557599">
        <w:rPr>
          <w:rStyle w:val="Rimandonotaapidipagina"/>
          <w:iCs/>
        </w:rPr>
        <w:footnoteReference w:id="35"/>
      </w:r>
      <w:r w:rsidRPr="00067EB0">
        <w:t xml:space="preserve">, in quanto la sua cognizione esclusiva in prima istanza sulle azioni promosse dai singoli (persone fisiche e giuridiche), è stata estesa ai ricorsi degli Stati membri, ad eccezione di quelli ancora riservati dallo Statuto alla Corte di giustizia (v. </w:t>
      </w:r>
      <w:r w:rsidRPr="00853B2F">
        <w:rPr>
          <w:i/>
        </w:rPr>
        <w:t>infra</w:t>
      </w:r>
      <w:r w:rsidRPr="00067EB0">
        <w:t>, par. 4.1). Il Tribunale svolge quindi oggi principalmente il ruolo di giudice “amministrativo” di primo grado dell</w:t>
      </w:r>
      <w:r w:rsidR="00D04C06" w:rsidRPr="00067EB0">
        <w:t>’</w:t>
      </w:r>
      <w:r w:rsidRPr="00067EB0">
        <w:t>Unione, chiamato a pronunciarsi, in sede di controllo dell</w:t>
      </w:r>
      <w:r w:rsidR="00D04C06" w:rsidRPr="00067EB0">
        <w:t>’</w:t>
      </w:r>
      <w:r w:rsidRPr="00067EB0">
        <w:t>attività delle istituzioni, anche su questioni di fatto.</w:t>
      </w:r>
    </w:p>
    <w:p w14:paraId="43137262" w14:textId="4DE26041" w:rsidR="00CC6E33" w:rsidRPr="00067EB0" w:rsidRDefault="00CC6E33" w:rsidP="00067EB0">
      <w:pPr>
        <w:pStyle w:val="Capoverso"/>
      </w:pPr>
      <w:r w:rsidRPr="00067EB0">
        <w:t xml:space="preserve">Per contro, la </w:t>
      </w:r>
      <w:r w:rsidRPr="00853B2F">
        <w:rPr>
          <w:i/>
        </w:rPr>
        <w:t>Corte di giustizia</w:t>
      </w:r>
      <w:r w:rsidRPr="00067EB0">
        <w:t xml:space="preserve"> può essere ritenuta, o comunque è destinata a diventare sempre più, il “</w:t>
      </w:r>
      <w:r w:rsidRPr="00853B2F">
        <w:rPr>
          <w:i/>
        </w:rPr>
        <w:t>giudice costituzionale</w:t>
      </w:r>
      <w:r w:rsidRPr="00067EB0">
        <w:t>” ovvero la “corte suprema” del</w:t>
      </w:r>
      <w:r w:rsidR="00DF624F">
        <w:softHyphen/>
      </w:r>
      <w:r w:rsidRPr="00067EB0">
        <w:t>l</w:t>
      </w:r>
      <w:r w:rsidR="00D04C06" w:rsidRPr="00067EB0">
        <w:t>’</w:t>
      </w:r>
      <w:r w:rsidRPr="00067EB0">
        <w:t>ordinamento dell</w:t>
      </w:r>
      <w:r w:rsidR="00D04C06" w:rsidRPr="00067EB0">
        <w:t>’</w:t>
      </w:r>
      <w:r w:rsidRPr="00067EB0">
        <w:t>Unione, considerato che ad essa è riservata, come vedremo in seguito, da un lato, la competenza a statuire in primo e unico grado sulla maggior parte dei ricorsi diretti proposti dalle istituzioni comunitarie e dagli Stati membri (ovvero sui conflitti interistituzionali o di natura costituzionale), salvo quelli affidati al Tribunale; dall</w:t>
      </w:r>
      <w:r w:rsidR="00D04C06" w:rsidRPr="00067EB0">
        <w:t>’</w:t>
      </w:r>
      <w:r w:rsidRPr="00067EB0">
        <w:t>altro, la competenza a statuire in ultimo grado, come giudice di legittimità, sulle decisioni emesse dal Tribunale</w:t>
      </w:r>
      <w:r w:rsidR="00557599" w:rsidRPr="00557599">
        <w:rPr>
          <w:rStyle w:val="Rimandonotaapidipagina"/>
        </w:rPr>
        <w:t> </w:t>
      </w:r>
      <w:r w:rsidR="00557599" w:rsidRPr="00557599">
        <w:rPr>
          <w:rStyle w:val="Rimandonotaapidipagina"/>
        </w:rPr>
        <w:footnoteReference w:id="36"/>
      </w:r>
      <w:r w:rsidRPr="00067EB0">
        <w:t>.</w:t>
      </w:r>
    </w:p>
    <w:p w14:paraId="5C17EAAC" w14:textId="26361530" w:rsidR="00CC6E33" w:rsidRPr="00067EB0" w:rsidRDefault="00CC6E33" w:rsidP="00067EB0">
      <w:pPr>
        <w:pStyle w:val="Capoverso"/>
        <w:rPr>
          <w:snapToGrid w:val="0"/>
        </w:rPr>
      </w:pPr>
      <w:r w:rsidRPr="00067EB0">
        <w:t xml:space="preserve">A tale </w:t>
      </w:r>
      <w:r w:rsidRPr="00067EB0">
        <w:rPr>
          <w:snapToGrid w:val="0"/>
        </w:rPr>
        <w:t>natura “costituzionale” del contenzioso riservato alla Corte di giustizia e della funzione di cui è investita è stata per lungo tempo collegata la circostanza per cui, sino alla recentissima riforma dello Statuto approvata dal legislatore del</w:t>
      </w:r>
      <w:r w:rsidR="00DF624F">
        <w:rPr>
          <w:snapToGrid w:val="0"/>
        </w:rPr>
        <w:softHyphen/>
      </w:r>
      <w:r w:rsidRPr="00067EB0">
        <w:rPr>
          <w:snapToGrid w:val="0"/>
        </w:rPr>
        <w:t>l</w:t>
      </w:r>
      <w:r w:rsidR="00D04C06" w:rsidRPr="00067EB0">
        <w:rPr>
          <w:snapToGrid w:val="0"/>
        </w:rPr>
        <w:t>’</w:t>
      </w:r>
      <w:r w:rsidRPr="00067EB0">
        <w:rPr>
          <w:snapToGrid w:val="0"/>
        </w:rPr>
        <w:t>Unione nell</w:t>
      </w:r>
      <w:r w:rsidR="00D04C06" w:rsidRPr="00067EB0">
        <w:rPr>
          <w:snapToGrid w:val="0"/>
        </w:rPr>
        <w:t>’</w:t>
      </w:r>
      <w:r w:rsidRPr="00067EB0">
        <w:rPr>
          <w:snapToGrid w:val="0"/>
        </w:rPr>
        <w:t>aprile del 2024</w:t>
      </w:r>
      <w:r w:rsidR="00557599" w:rsidRPr="00557599">
        <w:rPr>
          <w:rStyle w:val="Rimandonotaapidipagina"/>
          <w:snapToGrid w:val="0"/>
        </w:rPr>
        <w:t> </w:t>
      </w:r>
      <w:r w:rsidR="00557599" w:rsidRPr="00557599">
        <w:rPr>
          <w:rStyle w:val="Rimandonotaapidipagina"/>
          <w:snapToGrid w:val="0"/>
        </w:rPr>
        <w:footnoteReference w:id="37"/>
      </w:r>
      <w:r w:rsidRPr="00067EB0">
        <w:rPr>
          <w:snapToGrid w:val="0"/>
        </w:rPr>
        <w:t xml:space="preserve"> ed entrata in vigore il primo set</w:t>
      </w:r>
      <w:r w:rsidRPr="00067EB0">
        <w:rPr>
          <w:snapToGrid w:val="0"/>
        </w:rPr>
        <w:lastRenderedPageBreak/>
        <w:t>tembre 2024, essa ha detenuto una</w:t>
      </w:r>
      <w:r w:rsidRPr="00067EB0">
        <w:rPr>
          <w:iCs/>
          <w:snapToGrid w:val="0"/>
        </w:rPr>
        <w:t xml:space="preserve"> </w:t>
      </w:r>
      <w:r w:rsidRPr="00853B2F">
        <w:rPr>
          <w:i/>
          <w:snapToGrid w:val="0"/>
        </w:rPr>
        <w:t>competenza esclusiva</w:t>
      </w:r>
      <w:r w:rsidRPr="00067EB0">
        <w:rPr>
          <w:snapToGrid w:val="0"/>
        </w:rPr>
        <w:t xml:space="preserve"> con riguardo al </w:t>
      </w:r>
      <w:r w:rsidRPr="00853B2F">
        <w:rPr>
          <w:i/>
          <w:snapToGrid w:val="0"/>
        </w:rPr>
        <w:t>rinvio pregiudiziale di interpretazione e di validità</w:t>
      </w:r>
      <w:r w:rsidRPr="00067EB0">
        <w:rPr>
          <w:snapToGrid w:val="0"/>
        </w:rPr>
        <w:t xml:space="preserve"> e quindi al controllo giurisdizionale </w:t>
      </w:r>
      <w:r w:rsidRPr="00853B2F">
        <w:rPr>
          <w:i/>
          <w:snapToGrid w:val="0"/>
        </w:rPr>
        <w:t>indiretto</w:t>
      </w:r>
      <w:r w:rsidRPr="00067EB0">
        <w:rPr>
          <w:snapToGrid w:val="0"/>
        </w:rPr>
        <w:t xml:space="preserve"> che, per tale via, essa è chiamata ad esercitare sugli atti dell</w:t>
      </w:r>
      <w:r w:rsidR="00D04C06" w:rsidRPr="00067EB0">
        <w:rPr>
          <w:snapToGrid w:val="0"/>
        </w:rPr>
        <w:t>’</w:t>
      </w:r>
      <w:r w:rsidRPr="00067EB0">
        <w:rPr>
          <w:snapToGrid w:val="0"/>
        </w:rPr>
        <w:t xml:space="preserve">Unione e sulla corretta interpretazione delle regole del diritto UE da parte dei giudici nazionali. Benché infatti, ai sensi </w:t>
      </w:r>
      <w:r w:rsidRPr="00067EB0">
        <w:t>dell</w:t>
      </w:r>
      <w:r w:rsidR="00D04C06" w:rsidRPr="00067EB0">
        <w:t>’</w:t>
      </w:r>
      <w:r w:rsidRPr="00067EB0">
        <w:t>art. 256, par. 3, TFUE (introdotto dal trattato di Nizza nel 2003), questa competenza potesse essere devoluta, con decisione del Consiglio ed in “materie specifiche” determinate dallo Statuto, al Tribunale, per un ventennio un tale trasferimento non si è realizzato. Ciò in ragione delle perplessità che la stessa Corte di giustizia – a cui spetta, lo ricordiamo, in alternativa alla Commissione, il potere di proposta per la necessaria modifica dello Statuto – ha espresso in più occasioni</w:t>
      </w:r>
      <w:r w:rsidR="00557599" w:rsidRPr="00557599">
        <w:rPr>
          <w:rStyle w:val="Rimandonotaapidipagina"/>
        </w:rPr>
        <w:t> </w:t>
      </w:r>
      <w:r w:rsidR="00557599" w:rsidRPr="00557599">
        <w:rPr>
          <w:rStyle w:val="Rimandonotaapidipagina"/>
        </w:rPr>
        <w:footnoteReference w:id="38"/>
      </w:r>
      <w:r w:rsidRPr="00067EB0">
        <w:t xml:space="preserve"> in relazione alla reale esigenza di modificare il principale strumento giurisdizionale di raccordo e di dialogo tra giudice europeo e giudici nazionali, strumento che ha consentito sinora di assicurare efficacemente il primato del diritto comunitario e la sua uniforme applicazione.</w:t>
      </w:r>
    </w:p>
    <w:p w14:paraId="582113F0" w14:textId="143D7722" w:rsidR="00D04C06" w:rsidRPr="00067EB0" w:rsidRDefault="00CC6E33" w:rsidP="00067EB0">
      <w:pPr>
        <w:pStyle w:val="Capoverso"/>
      </w:pPr>
      <w:r w:rsidRPr="00067EB0">
        <w:t>Si noti, peraltro, che se è vero che il ruolo “costituzionale” della Corte e la sua funzione nomofilattica potrebbero in teoria essere messi in discussione dalla suddetta devoluzione al Tribunale di parte della competenza pregiudiziale, va sottolineato che, alla luce delle regole di diritto primario come riformate con il Trattato di Nizza, detta devoluzione è comunque accompagnata (e bilanciata) d</w:t>
      </w:r>
      <w:r w:rsidRPr="00067EB0">
        <w:rPr>
          <w:snapToGrid w:val="0"/>
        </w:rPr>
        <w:t xml:space="preserve">al potere di </w:t>
      </w:r>
      <w:r w:rsidRPr="00853B2F">
        <w:rPr>
          <w:i/>
        </w:rPr>
        <w:t>riesame</w:t>
      </w:r>
      <w:r w:rsidRPr="00067EB0">
        <w:t xml:space="preserve"> affidato alla Corte di giustizia rispetto alle decisioni adottate in sede pregiudiziale dal Tribunale, nonché dalla facoltà attribuita allo stesso Tribunale di </w:t>
      </w:r>
      <w:r w:rsidRPr="00853B2F">
        <w:rPr>
          <w:i/>
        </w:rPr>
        <w:t>rinviare</w:t>
      </w:r>
      <w:r w:rsidRPr="00067EB0">
        <w:t xml:space="preserve"> questioni pregiudiziali alla Corte nei casi in cui «sussistano gravi rischi che l</w:t>
      </w:r>
      <w:r w:rsidR="00D04C06" w:rsidRPr="00067EB0">
        <w:t>’</w:t>
      </w:r>
      <w:r w:rsidRPr="00067EB0">
        <w:t>unità o la coerenza del diritto comunitario siano compromesse» (cfr. art. 256, par. 3, terzo comma, TFUE in relazione al riesame e analogamente, con riguardo al rinvio, il secondo comma della stessa disposizione). Tali istituti permettono infatti di mantenere in capo alla Corte di giustizia la funzione nomofilattica e di garante supremo dell</w:t>
      </w:r>
      <w:r w:rsidR="00D04C06" w:rsidRPr="00067EB0">
        <w:t>’</w:t>
      </w:r>
      <w:r w:rsidRPr="00067EB0">
        <w:t>ordinamento che le è propria, così consentendo, anche in un quadro istituzionale rinnovato di ripartizione di competenze tra Corte di giustizia, Tribunale e (eventualmente) tribunali specializzati, il corretto, coerente ed efficace funzionamento del sistema giurisdizionale.</w:t>
      </w:r>
    </w:p>
    <w:p w14:paraId="074719C4" w14:textId="077105F3" w:rsidR="00D04C06" w:rsidRPr="00067EB0" w:rsidRDefault="00CC6E33" w:rsidP="00067EB0">
      <w:pPr>
        <w:pStyle w:val="Capoverso"/>
      </w:pPr>
      <w:r w:rsidRPr="00DF624F">
        <w:rPr>
          <w:spacing w:val="-2"/>
        </w:rPr>
        <w:t>Superando finalmente queste perplessità, la Corte di giustizia ha di recente deciso di far uso della clausola abilitante contenuta nell</w:t>
      </w:r>
      <w:r w:rsidR="00D04C06" w:rsidRPr="00DF624F">
        <w:rPr>
          <w:spacing w:val="-2"/>
        </w:rPr>
        <w:t>’</w:t>
      </w:r>
      <w:r w:rsidRPr="00DF624F">
        <w:rPr>
          <w:spacing w:val="-2"/>
        </w:rPr>
        <w:t>art. 256, par. 3, TFUE</w:t>
      </w:r>
      <w:r w:rsidR="00557599" w:rsidRPr="00DF624F">
        <w:rPr>
          <w:rStyle w:val="Rimandonotaapidipagina"/>
          <w:spacing w:val="-2"/>
        </w:rPr>
        <w:t> </w:t>
      </w:r>
      <w:r w:rsidR="00557599" w:rsidRPr="00DF624F">
        <w:rPr>
          <w:rStyle w:val="Rimandonotaapidipagina"/>
          <w:spacing w:val="-2"/>
        </w:rPr>
        <w:footnoteReference w:id="39"/>
      </w:r>
      <w:r w:rsidRPr="00DF624F">
        <w:rPr>
          <w:spacing w:val="-2"/>
        </w:rPr>
        <w:t>,</w:t>
      </w:r>
      <w:r w:rsidRPr="00067EB0">
        <w:t xml:space="preserve"> proponendo al legislatore dell</w:t>
      </w:r>
      <w:r w:rsidR="00D04C06" w:rsidRPr="00067EB0">
        <w:t>’</w:t>
      </w:r>
      <w:r w:rsidRPr="00067EB0">
        <w:t xml:space="preserve">Unione di modificare lo Statuto nella </w:t>
      </w:r>
      <w:r w:rsidRPr="00067EB0">
        <w:lastRenderedPageBreak/>
        <w:t xml:space="preserve">direzione di conferire al Tribunale la competenza pregiudiziale in alcune </w:t>
      </w:r>
      <w:r w:rsidRPr="00853B2F">
        <w:rPr>
          <w:i/>
          <w:iCs/>
        </w:rPr>
        <w:t>materie specifiche</w:t>
      </w:r>
      <w:r w:rsidRPr="00067EB0">
        <w:t xml:space="preserve"> nelle quali, nell</w:t>
      </w:r>
      <w:r w:rsidR="00D04C06" w:rsidRPr="00067EB0">
        <w:t>’</w:t>
      </w:r>
      <w:r w:rsidRPr="00067EB0">
        <w:t>opinione della Corte, non vengono in rilievo (se non in casi eccezionali) questioni di principio e per le quali il giudice dell</w:t>
      </w:r>
      <w:r w:rsidR="00D04C06" w:rsidRPr="00067EB0">
        <w:t>’</w:t>
      </w:r>
      <w:r w:rsidRPr="00067EB0">
        <w:t xml:space="preserve">Unione è chiamato a svolgere anche valutazioni di tipo fattuale. Più in dettaglio, la proposta – finalizzata, come specificato dal Preambolo, sia a ridurre il carico di lavoro della Corte, sia a valorizzare il nuovo ruolo e la nuova composizione del Tribunale – contempla il trasferimento della competenza pregiudiziale (ovviamente modificabile per incremento con interventi successivi di modifica dello Statuto) per le questioni riconducibili </w:t>
      </w:r>
      <w:r w:rsidRPr="00853B2F">
        <w:rPr>
          <w:i/>
          <w:iCs/>
        </w:rPr>
        <w:t>esclusivamente</w:t>
      </w:r>
      <w:r w:rsidRPr="00067EB0">
        <w:t xml:space="preserve"> a </w:t>
      </w:r>
      <w:r w:rsidRPr="00853B2F">
        <w:rPr>
          <w:i/>
        </w:rPr>
        <w:t>cinque materie</w:t>
      </w:r>
      <w:r w:rsidRPr="00067EB0">
        <w:t xml:space="preserve">, elencate nel nuovo art. 50 </w:t>
      </w:r>
      <w:r w:rsidRPr="00853B2F">
        <w:rPr>
          <w:i/>
          <w:iCs/>
        </w:rPr>
        <w:t>ter</w:t>
      </w:r>
      <w:r w:rsidRPr="00067EB0">
        <w:t>, primo comma, dello Statuto, vale a dire: il sistema comune di imposta sul valore aggiunto, i diritti di accisa, il codice doganale e la classificazione tariffaria delle merci nella nomenclatura combinata, la compensazione pecuniaria e l</w:t>
      </w:r>
      <w:r w:rsidR="00D04C06" w:rsidRPr="00067EB0">
        <w:t>’</w:t>
      </w:r>
      <w:r w:rsidRPr="00067EB0">
        <w:t>assi</w:t>
      </w:r>
      <w:r w:rsidR="00DF624F">
        <w:softHyphen/>
      </w:r>
      <w:r w:rsidRPr="00067EB0">
        <w:t>stenza dei passeggeri nonché il sistema di scambio di quote di emissione di gas a effetto serra.</w:t>
      </w:r>
    </w:p>
    <w:p w14:paraId="49179D15" w14:textId="662E838B" w:rsidR="00CC6E33" w:rsidRPr="00067EB0" w:rsidRDefault="00CC6E33" w:rsidP="00067EB0">
      <w:pPr>
        <w:pStyle w:val="Capoverso"/>
      </w:pPr>
      <w:r w:rsidRPr="00067EB0">
        <w:t>Nel documento che accompagna il testo della proposta, nonché nelle tabelle statistiche ad esso allegate, e quindi ora nel Preambolo del regolamento di revisione dello Statuto</w:t>
      </w:r>
      <w:r w:rsidR="00557599" w:rsidRPr="00557599">
        <w:rPr>
          <w:rStyle w:val="Rimandonotaapidipagina"/>
        </w:rPr>
        <w:t> </w:t>
      </w:r>
      <w:r w:rsidR="00557599" w:rsidRPr="00557599">
        <w:rPr>
          <w:rStyle w:val="Rimandonotaapidipagina"/>
        </w:rPr>
        <w:footnoteReference w:id="40"/>
      </w:r>
      <w:r w:rsidRPr="00067EB0">
        <w:t xml:space="preserve">, la scelta delle materie ora elencate è giustificata dalla Corte alla luce di </w:t>
      </w:r>
      <w:r w:rsidRPr="00853B2F">
        <w:rPr>
          <w:i/>
          <w:iCs/>
        </w:rPr>
        <w:t>quattro parametri</w:t>
      </w:r>
      <w:r w:rsidRPr="00067EB0">
        <w:t>:</w:t>
      </w:r>
      <w:r w:rsidRPr="00067EB0">
        <w:rPr>
          <w:rFonts w:eastAsia="Calibri"/>
          <w:lang w:eastAsia="en-US"/>
        </w:rPr>
        <w:t xml:space="preserve"> i</w:t>
      </w:r>
      <w:r w:rsidRPr="00067EB0">
        <w:t>l primo riguarda la necessità che le materie oggetto di trasferimento siano chiaramente identificabili alla lettura della domanda di pronuncia pregiudiziale e sufficientemente distinguibili dalle altre materie disciplinate dal diritto dell</w:t>
      </w:r>
      <w:r w:rsidR="00D04C06" w:rsidRPr="00067EB0">
        <w:t>’</w:t>
      </w:r>
      <w:r w:rsidRPr="00067EB0">
        <w:t>Unione, al fine di non sollevare interrogativi sulla precisa portata delle questioni sollevate dai giudici nazionali e, di conseguenza, sulla competenza del Tribunale a trattarle.</w:t>
      </w:r>
    </w:p>
    <w:p w14:paraId="29F216C8" w14:textId="731EA234" w:rsidR="00CC6E33" w:rsidRPr="00067EB0" w:rsidRDefault="00CC6E33" w:rsidP="00067EB0">
      <w:pPr>
        <w:pStyle w:val="Capoverso"/>
      </w:pPr>
      <w:r w:rsidRPr="00067EB0">
        <w:t>Il secondo e il terzo parametro si riferiscono all</w:t>
      </w:r>
      <w:r w:rsidR="00D04C06" w:rsidRPr="00067EB0">
        <w:t>’</w:t>
      </w:r>
      <w:r w:rsidRPr="00067EB0">
        <w:t>identificazione delle materie che, a suo parere, sollevano poche questioni di principio e nelle quali la Corte di giustizia ha sviluppato una consistente giurisprudenza, che possa guidare il Tribunale nell</w:t>
      </w:r>
      <w:r w:rsidR="00D04C06" w:rsidRPr="00067EB0">
        <w:t>’</w:t>
      </w:r>
      <w:r w:rsidRPr="00067EB0">
        <w:t>esercizio della sua nuova competenza e prevenire il potenziale rischio di incoerenze o divergenze giurisprudenziali.</w:t>
      </w:r>
    </w:p>
    <w:p w14:paraId="156E3859" w14:textId="77777777" w:rsidR="00D04C06" w:rsidRPr="00067EB0" w:rsidRDefault="00CC6E33" w:rsidP="00067EB0">
      <w:pPr>
        <w:pStyle w:val="Capoverso"/>
      </w:pPr>
      <w:r w:rsidRPr="00067EB0">
        <w:t xml:space="preserve">Infine, la Corte ha scelto materie che conducano a un numero di rinvii pregiudiziali sufficientemente significativo affinché il trasferimento delle domande di pronuncia pregiudiziale al Tribunale nelle materie di cui trattasi produca un effetto concreto sul suo carico di lavoro. In tal modo, sulla base delle statistiche riferite agli anni precedenti, la Corte prefigura a partire dal settembre 2024 il trasferimento al Tribunale di circa il </w:t>
      </w:r>
      <w:r w:rsidRPr="00853B2F">
        <w:rPr>
          <w:i/>
          <w:iCs/>
        </w:rPr>
        <w:t>venti per cento</w:t>
      </w:r>
      <w:r w:rsidRPr="00067EB0">
        <w:t xml:space="preserve"> delle cause pregiudiziali.</w:t>
      </w:r>
    </w:p>
    <w:p w14:paraId="652ECC35" w14:textId="06E5B5D4" w:rsidR="00CC6E33" w:rsidRPr="00067EB0" w:rsidRDefault="00CC6E33" w:rsidP="00067EB0">
      <w:pPr>
        <w:pStyle w:val="Capoverso"/>
      </w:pPr>
      <w:r w:rsidRPr="00067EB0">
        <w:t xml:space="preserve">Va rimarcato che nella scelta dei parametri la Corte non ha inserito quello che sembrava intuitivamente prioritario, vale a dire la corrispondenza – o la vicinanza – tra le materie trasferite e quelle già di competenza del Tribunale, come è il caso della proprietà intellettuale, degli appalti pubblici o del diritto </w:t>
      </w:r>
      <w:r w:rsidRPr="00067EB0">
        <w:lastRenderedPageBreak/>
        <w:t>della concorrenza</w:t>
      </w:r>
      <w:r w:rsidR="00557599" w:rsidRPr="00557599">
        <w:rPr>
          <w:rStyle w:val="Rimandonotaapidipagina"/>
        </w:rPr>
        <w:t> </w:t>
      </w:r>
      <w:r w:rsidR="00557599" w:rsidRPr="00557599">
        <w:rPr>
          <w:rStyle w:val="Rimandonotaapidipagina"/>
        </w:rPr>
        <w:footnoteReference w:id="41"/>
      </w:r>
      <w:r w:rsidRPr="00067EB0">
        <w:t>.</w:t>
      </w:r>
    </w:p>
    <w:p w14:paraId="4E5CF6E7" w14:textId="26F8D7C2" w:rsidR="00D04C06" w:rsidRPr="00067EB0" w:rsidRDefault="00CC6E33" w:rsidP="00067EB0">
      <w:pPr>
        <w:pStyle w:val="Capoverso"/>
      </w:pPr>
      <w:r w:rsidRPr="00067EB0">
        <w:t xml:space="preserve">Quanto al meccanismo concreto di distribuzione delle questioni pregiudiziali tra le due corti, il testo modificato dello Statuto (art. 50 </w:t>
      </w:r>
      <w:r w:rsidRPr="00853B2F">
        <w:rPr>
          <w:i/>
          <w:iCs/>
        </w:rPr>
        <w:t>ter</w:t>
      </w:r>
      <w:r w:rsidRPr="00067EB0">
        <w:t>, terzo comma) contempla un sistema c.d. di “sportello unico” (</w:t>
      </w:r>
      <w:proofErr w:type="spellStart"/>
      <w:r w:rsidRPr="00853B2F">
        <w:rPr>
          <w:i/>
          <w:iCs/>
        </w:rPr>
        <w:t>guichet</w:t>
      </w:r>
      <w:proofErr w:type="spellEnd"/>
      <w:r w:rsidRPr="00853B2F">
        <w:rPr>
          <w:i/>
          <w:iCs/>
        </w:rPr>
        <w:t xml:space="preserve"> </w:t>
      </w:r>
      <w:proofErr w:type="spellStart"/>
      <w:r w:rsidRPr="00853B2F">
        <w:rPr>
          <w:i/>
          <w:iCs/>
        </w:rPr>
        <w:t>unique</w:t>
      </w:r>
      <w:proofErr w:type="spellEnd"/>
      <w:r w:rsidRPr="00853B2F">
        <w:rPr>
          <w:i/>
          <w:iCs/>
        </w:rPr>
        <w:t>, one</w:t>
      </w:r>
      <w:r w:rsidR="00DA019E">
        <w:rPr>
          <w:i/>
          <w:iCs/>
        </w:rPr>
        <w:t>-</w:t>
      </w:r>
      <w:r w:rsidRPr="00853B2F">
        <w:rPr>
          <w:i/>
          <w:iCs/>
        </w:rPr>
        <w:t>stop shop</w:t>
      </w:r>
      <w:r w:rsidRPr="00067EB0">
        <w:t>), secondo il quale i giudici nazionali rivolgeranno in ogni caso le questioni pregiudiziali alla Corte di giustizia, la quale valuterà, senza alcun contributo da parte del Tribunale</w:t>
      </w:r>
      <w:r w:rsidR="00557599" w:rsidRPr="00557599">
        <w:rPr>
          <w:rStyle w:val="Rimandonotaapidipagina"/>
        </w:rPr>
        <w:t> </w:t>
      </w:r>
      <w:r w:rsidR="00557599" w:rsidRPr="00557599">
        <w:rPr>
          <w:rStyle w:val="Rimandonotaapidipagina"/>
        </w:rPr>
        <w:footnoteReference w:id="42"/>
      </w:r>
      <w:r w:rsidRPr="00067EB0">
        <w:t>, se esse siano o meno “esclusivamente” riconducibili alle materie di competenza di quest</w:t>
      </w:r>
      <w:r w:rsidR="00D04C06" w:rsidRPr="00067EB0">
        <w:t>’</w:t>
      </w:r>
      <w:r w:rsidRPr="00067EB0">
        <w:t>ultimo. Solo nel secondo caso il trasferimento avrà luogo; in caso contrario, vale a dire qualora le questioni rivolte dal giudice nazionale siano di tipo “misto”, coinvolgendo cioè altre materie non oggetto di trasferimento, esse saranno trattenute dalla Corte. Nella propria proposta, la Corte giustifica, in sostanza, questa soluzione con la necessità di evitare che sia il giudice nazionale a dover individuare il giudice competente, con il rischio di scelte divergenti</w:t>
      </w:r>
      <w:r w:rsidR="00557599" w:rsidRPr="00557599">
        <w:rPr>
          <w:vertAlign w:val="superscript"/>
        </w:rPr>
        <w:t> </w:t>
      </w:r>
      <w:r w:rsidR="00557599" w:rsidRPr="00557599">
        <w:rPr>
          <w:vertAlign w:val="superscript"/>
        </w:rPr>
        <w:footnoteReference w:id="43"/>
      </w:r>
      <w:r w:rsidRPr="00067EB0">
        <w:t>.</w:t>
      </w:r>
    </w:p>
    <w:p w14:paraId="39400A10" w14:textId="1F78E92E" w:rsidR="00D04C06" w:rsidRPr="00067EB0" w:rsidRDefault="00CC6E33" w:rsidP="00067EB0">
      <w:pPr>
        <w:pStyle w:val="Capoverso"/>
      </w:pPr>
      <w:r w:rsidRPr="00067EB0">
        <w:t>Legata a questa esigenza “didascalica” nei confronti dei giudici nazionali, ma anche alla volontà della Corte di mantenere l</w:t>
      </w:r>
      <w:r w:rsidR="00D04C06" w:rsidRPr="00067EB0">
        <w:t>’</w:t>
      </w:r>
      <w:r w:rsidRPr="00067EB0">
        <w:t>ultima parola sull</w:t>
      </w:r>
      <w:r w:rsidR="00D04C06" w:rsidRPr="00067EB0">
        <w:t>’</w:t>
      </w:r>
      <w:r w:rsidRPr="00067EB0">
        <w:t>interpretazione di regole di base dell</w:t>
      </w:r>
      <w:r w:rsidR="00D04C06" w:rsidRPr="00067EB0">
        <w:t>’</w:t>
      </w:r>
      <w:r w:rsidRPr="00067EB0">
        <w:t>ordinamento dell</w:t>
      </w:r>
      <w:r w:rsidR="00D04C06" w:rsidRPr="00067EB0">
        <w:t>’</w:t>
      </w:r>
      <w:r w:rsidRPr="00067EB0">
        <w:t>Unione, è un</w:t>
      </w:r>
      <w:r w:rsidR="00D04C06" w:rsidRPr="00067EB0">
        <w:t>’</w:t>
      </w:r>
      <w:r w:rsidRPr="00067EB0">
        <w:t>altra soluzione, contenuta nel nuovo testo dello Statuto. Ci riferiamo alla disposi</w:t>
      </w:r>
      <w:r w:rsidRPr="00067EB0">
        <w:lastRenderedPageBreak/>
        <w:t>zione</w:t>
      </w:r>
      <w:r w:rsidR="00557599" w:rsidRPr="00557599">
        <w:rPr>
          <w:rStyle w:val="Rimandonotaapidipagina"/>
        </w:rPr>
        <w:t> </w:t>
      </w:r>
      <w:r w:rsidR="00557599" w:rsidRPr="00557599">
        <w:rPr>
          <w:rStyle w:val="Rimandonotaapidipagina"/>
        </w:rPr>
        <w:footnoteReference w:id="44"/>
      </w:r>
      <w:r w:rsidRPr="00067EB0">
        <w:t xml:space="preserve"> secondo la quale, qualora il giudice nazionale, </w:t>
      </w:r>
      <w:r w:rsidRPr="00853B2F">
        <w:rPr>
          <w:i/>
          <w:iCs/>
        </w:rPr>
        <w:t>in una controversia sicuramente riconducibile ad una delle materie oggetto di trasferimento</w:t>
      </w:r>
      <w:r w:rsidRPr="00067EB0">
        <w:t>, rivolga anche quesiti “indipendenti”</w:t>
      </w:r>
      <w:r w:rsidR="00557599" w:rsidRPr="00557599">
        <w:rPr>
          <w:rStyle w:val="Rimandonotaapidipagina"/>
        </w:rPr>
        <w:t> </w:t>
      </w:r>
      <w:r w:rsidR="00557599" w:rsidRPr="00557599">
        <w:rPr>
          <w:rStyle w:val="Rimandonotaapidipagina"/>
        </w:rPr>
        <w:footnoteReference w:id="45"/>
      </w:r>
      <w:r w:rsidRPr="00067EB0">
        <w:t xml:space="preserve"> concernenti questioni di natura orizzontale quale l</w:t>
      </w:r>
      <w:r w:rsidR="00D04C06" w:rsidRPr="00067EB0">
        <w:t>’</w:t>
      </w:r>
      <w:r w:rsidRPr="00067EB0">
        <w:t xml:space="preserve">interpretazione di disposizioni del diritto primario (i Trattati, la </w:t>
      </w:r>
      <w:r w:rsidR="00D074B7">
        <w:t>CDFUE</w:t>
      </w:r>
      <w:r w:rsidRPr="00067EB0">
        <w:t>), di principi generali non scritti del diritto dell</w:t>
      </w:r>
      <w:r w:rsidR="00D04C06" w:rsidRPr="00067EB0">
        <w:t>’</w:t>
      </w:r>
      <w:r w:rsidRPr="00067EB0">
        <w:t xml:space="preserve">Unione, oppure ancora di norme di diritto internazionale generale o pattizio, il trasferimento al Tribunale </w:t>
      </w:r>
      <w:r w:rsidRPr="00853B2F">
        <w:rPr>
          <w:i/>
          <w:iCs/>
        </w:rPr>
        <w:t>non</w:t>
      </w:r>
      <w:r w:rsidRPr="00067EB0">
        <w:t xml:space="preserve"> avrà luogo. Una soluzione del genere non appare imposta dalle regole del Trattato e rischia di ridurre in maniera sensibile l</w:t>
      </w:r>
      <w:r w:rsidR="00D04C06" w:rsidRPr="00067EB0">
        <w:t>’</w:t>
      </w:r>
      <w:r w:rsidRPr="00067EB0">
        <w:t>effetto pratico della riforma. In effetti, considerato che la norma del Trattato che consente la devoluzione della competenza pregiudiziale al Tribunale (art. 256, par.</w:t>
      </w:r>
      <w:r w:rsidR="00D325FB">
        <w:t xml:space="preserve"> 1</w:t>
      </w:r>
      <w:r w:rsidRPr="00067EB0">
        <w:t>) si limita a riferirsi a “materie specifiche” come oggetto del trasferimento da determinare con lo Statuto, non è chiaro (né il Preambolo del Regolamento di revisione lo chiarisce in maniera convincente</w:t>
      </w:r>
      <w:r w:rsidR="00DC56E2" w:rsidRPr="00DC56E2">
        <w:t>)</w:t>
      </w:r>
      <w:r w:rsidRPr="00067EB0">
        <w:t xml:space="preserve"> il motivo per cui questioni di natura “orizzontale” come l</w:t>
      </w:r>
      <w:r w:rsidR="00D04C06" w:rsidRPr="00067EB0">
        <w:t>’</w:t>
      </w:r>
      <w:r w:rsidRPr="00067EB0">
        <w:t xml:space="preserve">interpretazione di una disposizione della </w:t>
      </w:r>
      <w:r w:rsidR="00D074B7">
        <w:t xml:space="preserve">CDFUE </w:t>
      </w:r>
      <w:r w:rsidRPr="00067EB0">
        <w:t xml:space="preserve">o del diritto internazionale generale </w:t>
      </w:r>
      <w:r w:rsidRPr="00067EB0">
        <w:rPr>
          <w:iCs/>
        </w:rPr>
        <w:t>nel contesto di una controversia riconducibile alle materie trasferite</w:t>
      </w:r>
      <w:r w:rsidRPr="00067EB0">
        <w:t xml:space="preserve"> non possano essere anch</w:t>
      </w:r>
      <w:r w:rsidR="00D04C06" w:rsidRPr="00067EB0">
        <w:t>’</w:t>
      </w:r>
      <w:r w:rsidRPr="00067EB0">
        <w:t>esse deferite alla cognizione del Tribunale: dette questioni orizzontali non sono, infatti, tecnicamente da intendere come “materie” diverse da quelle oggetto di devoluzione. Inoltre, va rilevato che, nel</w:t>
      </w:r>
      <w:r w:rsidR="00DF624F">
        <w:softHyphen/>
      </w:r>
      <w:r w:rsidRPr="00067EB0">
        <w:t>l</w:t>
      </w:r>
      <w:r w:rsidR="00D04C06" w:rsidRPr="00067EB0">
        <w:t>’</w:t>
      </w:r>
      <w:r w:rsidRPr="00067EB0">
        <w:t>ambito della competenza pregiudiziale di validità, il Tribunale sarà certamente chiamato ad esprimersi sull</w:t>
      </w:r>
      <w:r w:rsidR="00D04C06" w:rsidRPr="00067EB0">
        <w:t>’</w:t>
      </w:r>
      <w:r w:rsidRPr="00067EB0">
        <w:t>interpretazione di una fonte di diritto primario, qualora quest</w:t>
      </w:r>
      <w:r w:rsidR="00D04C06" w:rsidRPr="00067EB0">
        <w:t>’</w:t>
      </w:r>
      <w:r w:rsidRPr="00067EB0">
        <w:t>ultima venga indicata come parametro di validità di norme di diritto derivato rientranti nelle materie trasferite. Non va infine dimenticato che le esigenze di tutela dell</w:t>
      </w:r>
      <w:r w:rsidR="00D04C06" w:rsidRPr="00067EB0">
        <w:t>’</w:t>
      </w:r>
      <w:r w:rsidRPr="00067EB0">
        <w:t>uniformità e della coerenza del sistema sono comunque garantite dai già ricordati meccanismi di rinvio e di riesame contemplati all</w:t>
      </w:r>
      <w:r w:rsidR="00D04C06" w:rsidRPr="00067EB0">
        <w:t>’</w:t>
      </w:r>
      <w:r w:rsidRPr="00067EB0">
        <w:t>art. 256 TFUE.</w:t>
      </w:r>
    </w:p>
    <w:p w14:paraId="49E26329" w14:textId="1C3DB201" w:rsidR="00D04C06" w:rsidRPr="00067EB0" w:rsidRDefault="00CC6E33" w:rsidP="00676871">
      <w:pPr>
        <w:pStyle w:val="Capoverso"/>
      </w:pPr>
      <w:r w:rsidRPr="00067EB0">
        <w:t>Infine, dal riferimento alle “materie specifiche” sembra derivare che il trasferimento al Tribunale debba coinvolgere sia le questioni pregiudiziali di interpretazione che quelle di validità, non ricavandosi nell</w:t>
      </w:r>
      <w:r w:rsidR="00D04C06" w:rsidRPr="00067EB0">
        <w:t>’</w:t>
      </w:r>
      <w:r w:rsidRPr="00067EB0">
        <w:t>art. 256 TFUE, ed ora nel nuovo testo dello Statuto, alcuna distinzione tra le due categorie di questioni.</w:t>
      </w:r>
    </w:p>
    <w:p w14:paraId="2D6ECB48" w14:textId="6B13E9C9" w:rsidR="00CC6E33" w:rsidRPr="00963945" w:rsidRDefault="00D61682" w:rsidP="00676871">
      <w:pPr>
        <w:pStyle w:val="Paragrafo"/>
        <w:rPr>
          <w:szCs w:val="24"/>
        </w:rPr>
      </w:pPr>
      <w:r>
        <w:lastRenderedPageBreak/>
        <w:t xml:space="preserve">4. </w:t>
      </w:r>
      <w:r w:rsidR="00CC6E33">
        <w:t>La Corte di giustizia e</w:t>
      </w:r>
      <w:r w:rsidR="00CC6E33" w:rsidRPr="00164B22">
        <w:t xml:space="preserve"> il suo ruolo determinante per l</w:t>
      </w:r>
      <w:r w:rsidR="00D04C06">
        <w:t>’</w:t>
      </w:r>
      <w:r w:rsidR="00CC6E33" w:rsidRPr="00164B22">
        <w:t>inte</w:t>
      </w:r>
      <w:r w:rsidR="00DF624F">
        <w:softHyphen/>
      </w:r>
      <w:r w:rsidR="00CC6E33" w:rsidRPr="00164B22">
        <w:t>grazione europea attraverso il diritto</w:t>
      </w:r>
    </w:p>
    <w:p w14:paraId="6B3F8A56" w14:textId="2D432262" w:rsidR="00D04C06" w:rsidRPr="00067EB0" w:rsidRDefault="00CC6E33" w:rsidP="00067EB0">
      <w:pPr>
        <w:pStyle w:val="Capoverso"/>
      </w:pPr>
      <w:r w:rsidRPr="00067EB0">
        <w:t>Al vertice del sistema giurisdizionale dell</w:t>
      </w:r>
      <w:r w:rsidR="00D04C06" w:rsidRPr="00067EB0">
        <w:t>’</w:t>
      </w:r>
      <w:r w:rsidRPr="00067EB0">
        <w:t>Unione si colloca, dunque, la Corte di giustizia, il cui ruolo è stato, sin dai primi anni di vita dei Trattati, determinante per la costruzione di un sistema di integrazione tra Stati del tutto peculiare nel contesto di ordinamenti creati da trattati istitutivi di organizzazioni internazionali.</w:t>
      </w:r>
    </w:p>
    <w:p w14:paraId="5A736C68" w14:textId="7E23F8D5" w:rsidR="00D04C06" w:rsidRPr="00067EB0" w:rsidRDefault="00CC6E33" w:rsidP="0030581D">
      <w:pPr>
        <w:pStyle w:val="Capoverso"/>
        <w:spacing w:line="250" w:lineRule="exact"/>
      </w:pPr>
      <w:r w:rsidRPr="00067EB0">
        <w:t>Istituita con il Trattato CECA firmato a Parigi il 18 aprile 1951, la Corte di giustizia è entrata in funzione il 2 dicembre 1952. La sua prima sentenza risale al 21 dicembre 1954, nella causa 1/54 che opponeva la Repubblica francese all</w:t>
      </w:r>
      <w:r w:rsidR="00D04C06" w:rsidRPr="00067EB0">
        <w:t>’</w:t>
      </w:r>
      <w:r w:rsidRPr="00067EB0">
        <w:t>Al</w:t>
      </w:r>
      <w:r w:rsidR="00D9053A">
        <w:softHyphen/>
      </w:r>
      <w:r w:rsidRPr="00067EB0">
        <w:t>ta Autorità della CECA. Le sue funzioni sono state estese alle altre due comunità (CEE ed EURATOM) con l</w:t>
      </w:r>
      <w:r w:rsidR="00D04C06" w:rsidRPr="00067EB0">
        <w:t>’</w:t>
      </w:r>
      <w:r w:rsidRPr="00067EB0">
        <w:t>entrata in vigore, il 1° gennaio 1958, dei rispettivi trattati istitutivi, e quindi all</w:t>
      </w:r>
      <w:r w:rsidR="00D04C06" w:rsidRPr="00067EB0">
        <w:t>’</w:t>
      </w:r>
      <w:r w:rsidRPr="00067EB0">
        <w:t>Unione con la istituzione di quest</w:t>
      </w:r>
      <w:r w:rsidR="00D04C06" w:rsidRPr="00067EB0">
        <w:t>’</w:t>
      </w:r>
      <w:r w:rsidRPr="00067EB0">
        <w:t>ultima con il Trattato di Maastricht ed i trattati successivi.</w:t>
      </w:r>
    </w:p>
    <w:p w14:paraId="6EFED4DE" w14:textId="77777777" w:rsidR="00D04C06" w:rsidRPr="00067EB0" w:rsidRDefault="00CC6E33" w:rsidP="00067EB0">
      <w:pPr>
        <w:pStyle w:val="Capoverso"/>
      </w:pPr>
      <w:r w:rsidRPr="00067EB0">
        <w:t>Sin dalla sua creazione la Corte ha sede in Lussemburgo, inizialmente a titolo “provvisorio”, trasformatosi poi in scelta definitiva con il Protocollo n. 6, allegato ai Trattati, sulla sede delle istituzioni.</w:t>
      </w:r>
    </w:p>
    <w:p w14:paraId="14B748FE" w14:textId="1A97D075" w:rsidR="00D04C06" w:rsidRPr="001D57B7" w:rsidRDefault="00CC6E33" w:rsidP="0030581D">
      <w:pPr>
        <w:pStyle w:val="Capoverso"/>
        <w:spacing w:line="250" w:lineRule="exact"/>
        <w:rPr>
          <w:spacing w:val="-2"/>
        </w:rPr>
      </w:pPr>
      <w:r w:rsidRPr="001D57B7">
        <w:rPr>
          <w:spacing w:val="-2"/>
        </w:rPr>
        <w:t>Come anticipato, l</w:t>
      </w:r>
      <w:r w:rsidR="00D04C06" w:rsidRPr="001D57B7">
        <w:rPr>
          <w:spacing w:val="-2"/>
        </w:rPr>
        <w:t>’</w:t>
      </w:r>
      <w:r w:rsidRPr="001D57B7">
        <w:rPr>
          <w:spacing w:val="-2"/>
        </w:rPr>
        <w:t>art. 19 TUE, norma di base dell</w:t>
      </w:r>
      <w:r w:rsidR="00D04C06" w:rsidRPr="001D57B7">
        <w:rPr>
          <w:spacing w:val="-2"/>
        </w:rPr>
        <w:t>’</w:t>
      </w:r>
      <w:r w:rsidRPr="001D57B7">
        <w:rPr>
          <w:spacing w:val="-2"/>
        </w:rPr>
        <w:t>intero sistema giurisdizionale, affida alla Corte di giustizia dell</w:t>
      </w:r>
      <w:r w:rsidR="00D04C06" w:rsidRPr="001D57B7">
        <w:rPr>
          <w:spacing w:val="-2"/>
        </w:rPr>
        <w:t>’</w:t>
      </w:r>
      <w:r w:rsidRPr="001D57B7">
        <w:rPr>
          <w:spacing w:val="-2"/>
        </w:rPr>
        <w:t xml:space="preserve">Unione europea </w:t>
      </w:r>
      <w:r w:rsidRPr="001D57B7">
        <w:rPr>
          <w:i/>
          <w:spacing w:val="-2"/>
        </w:rPr>
        <w:t>nel suo complesso</w:t>
      </w:r>
      <w:r w:rsidRPr="001D57B7">
        <w:rPr>
          <w:spacing w:val="-2"/>
        </w:rPr>
        <w:t xml:space="preserve"> – quindi, comprensiva della Corte di giustizia, del Tribunale e dei tribunali specializzati – il compito di «assicurare il rispetto del diritto nell</w:t>
      </w:r>
      <w:r w:rsidR="00D04C06" w:rsidRPr="001D57B7">
        <w:rPr>
          <w:spacing w:val="-2"/>
        </w:rPr>
        <w:t>’</w:t>
      </w:r>
      <w:r w:rsidRPr="001D57B7">
        <w:rPr>
          <w:spacing w:val="-2"/>
        </w:rPr>
        <w:t>interpretazione e nell</w:t>
      </w:r>
      <w:r w:rsidR="00D04C06" w:rsidRPr="001D57B7">
        <w:rPr>
          <w:spacing w:val="-2"/>
        </w:rPr>
        <w:t>’</w:t>
      </w:r>
      <w:r w:rsidRPr="001D57B7">
        <w:rPr>
          <w:spacing w:val="-2"/>
        </w:rPr>
        <w:t>applicazio</w:t>
      </w:r>
      <w:r w:rsidR="001D57B7">
        <w:rPr>
          <w:spacing w:val="-2"/>
        </w:rPr>
        <w:softHyphen/>
      </w:r>
      <w:r w:rsidRPr="001D57B7">
        <w:rPr>
          <w:spacing w:val="-2"/>
        </w:rPr>
        <w:t>ne dei trattati». Detto compito, per quanto destinato a permeare l</w:t>
      </w:r>
      <w:r w:rsidR="00D04C06" w:rsidRPr="001D57B7">
        <w:rPr>
          <w:spacing w:val="-2"/>
        </w:rPr>
        <w:t>’</w:t>
      </w:r>
      <w:r w:rsidRPr="001D57B7">
        <w:rPr>
          <w:spacing w:val="-2"/>
        </w:rPr>
        <w:t>attività giurisdizionale di tutti i giudici europei, trova certamente espressione soprattutto nel ruolo della Corte di giustizia, e ciò da due punti di vista: in primo luogo, in quanto la Corte è stata per molti anni l</w:t>
      </w:r>
      <w:r w:rsidR="00D04C06" w:rsidRPr="001D57B7">
        <w:rPr>
          <w:spacing w:val="-2"/>
        </w:rPr>
        <w:t>’</w:t>
      </w:r>
      <w:r w:rsidRPr="001D57B7">
        <w:rPr>
          <w:spacing w:val="-2"/>
        </w:rPr>
        <w:t>unico giudice protagonista del dialogo con i giudici nazionali attraverso il meccanismo del rinvio pregiudiziale, e tuttora mantiene detto ruolo esclusivo rispetto alle questioni di maggiore rilevanza; in secondo luogo, in quanto essa opera come giudice di vertice nelle azioni “dirette”, in quanto chiamato ad esercitare un controllo giurisdizionale in ultimo grado sulle decisioni degli altri giudici del sistema (al momento, il solo Tribunale: art. 256, par. 1, primo comma, TFUE). La “missione” di organo “costituzionale” e di vertice della Corte è poi chiaramente esplicitata anche nei paragrafi successivi dell</w:t>
      </w:r>
      <w:r w:rsidR="00D04C06" w:rsidRPr="001D57B7">
        <w:rPr>
          <w:spacing w:val="-2"/>
        </w:rPr>
        <w:t>’</w:t>
      </w:r>
      <w:r w:rsidRPr="001D57B7">
        <w:rPr>
          <w:spacing w:val="-2"/>
        </w:rPr>
        <w:t xml:space="preserve">art. 256 TFUE: sia il par. 2, dedicato al ruolo del Tribunale come giudice competente a conoscere dei ricorsi contro le decisioni dei tribunali specializzati, sia il par. 3, dedicato alle competenze pregiudiziali del Tribunale, attribuiscono alla Corte il potere di intervenire in ultima battuta, attraverso una </w:t>
      </w:r>
      <w:r w:rsidRPr="001D57B7">
        <w:rPr>
          <w:i/>
          <w:spacing w:val="-2"/>
        </w:rPr>
        <w:t xml:space="preserve">procedura di riesame </w:t>
      </w:r>
      <w:r w:rsidRPr="001D57B7">
        <w:rPr>
          <w:spacing w:val="-2"/>
        </w:rPr>
        <w:t>attivata dal primo A.G., qualora sia necessario assicurare al sistema l</w:t>
      </w:r>
      <w:r w:rsidR="00D04C06" w:rsidRPr="001D57B7">
        <w:rPr>
          <w:spacing w:val="-2"/>
        </w:rPr>
        <w:t>’</w:t>
      </w:r>
      <w:r w:rsidRPr="001D57B7">
        <w:rPr>
          <w:spacing w:val="-2"/>
        </w:rPr>
        <w:t>immunità dai «gravi rischi che l</w:t>
      </w:r>
      <w:r w:rsidR="00D04C06" w:rsidRPr="001D57B7">
        <w:rPr>
          <w:spacing w:val="-2"/>
        </w:rPr>
        <w:t>’</w:t>
      </w:r>
      <w:r w:rsidRPr="001D57B7">
        <w:rPr>
          <w:spacing w:val="-2"/>
        </w:rPr>
        <w:t>unità e la coerenza del diritto comunitario siano compromesse» dalle decisioni assunte dal Tribunale. L</w:t>
      </w:r>
      <w:r w:rsidR="00D04C06" w:rsidRPr="001D57B7">
        <w:rPr>
          <w:spacing w:val="-2"/>
        </w:rPr>
        <w:t>’</w:t>
      </w:r>
      <w:r w:rsidRPr="001D57B7">
        <w:rPr>
          <w:spacing w:val="-2"/>
        </w:rPr>
        <w:t>istituto del riesame e quello, di cui al secondo comma del par. 3 dell</w:t>
      </w:r>
      <w:r w:rsidR="00D04C06" w:rsidRPr="001D57B7">
        <w:rPr>
          <w:spacing w:val="-2"/>
        </w:rPr>
        <w:t>’</w:t>
      </w:r>
      <w:r w:rsidRPr="001D57B7">
        <w:rPr>
          <w:spacing w:val="-2"/>
        </w:rPr>
        <w:t xml:space="preserve">art. 256, del </w:t>
      </w:r>
      <w:r w:rsidRPr="001D57B7">
        <w:rPr>
          <w:i/>
          <w:spacing w:val="-2"/>
        </w:rPr>
        <w:t>rinvio</w:t>
      </w:r>
      <w:r w:rsidRPr="001D57B7">
        <w:rPr>
          <w:spacing w:val="-2"/>
        </w:rPr>
        <w:t xml:space="preserve"> della causa pregiudiziale dal Tribunale alla Corte di </w:t>
      </w:r>
      <w:r w:rsidRPr="001D57B7">
        <w:rPr>
          <w:spacing w:val="-2"/>
        </w:rPr>
        <w:lastRenderedPageBreak/>
        <w:t>giustizia, rendono evidente che, se è pur vero che il Tribunale partecipa, a pieno titolo, dell</w:t>
      </w:r>
      <w:r w:rsidR="00D04C06" w:rsidRPr="001D57B7">
        <w:rPr>
          <w:spacing w:val="-2"/>
        </w:rPr>
        <w:t>’</w:t>
      </w:r>
      <w:r w:rsidRPr="001D57B7">
        <w:rPr>
          <w:spacing w:val="-2"/>
        </w:rPr>
        <w:t>adem</w:t>
      </w:r>
      <w:r w:rsidR="00D9053A" w:rsidRPr="001D57B7">
        <w:rPr>
          <w:spacing w:val="-2"/>
        </w:rPr>
        <w:softHyphen/>
      </w:r>
      <w:r w:rsidRPr="001D57B7">
        <w:rPr>
          <w:spacing w:val="-2"/>
        </w:rPr>
        <w:t>pimento della missione di garantire il rispetto del diritto nell</w:t>
      </w:r>
      <w:r w:rsidR="00D04C06" w:rsidRPr="001D57B7">
        <w:rPr>
          <w:spacing w:val="-2"/>
        </w:rPr>
        <w:t>’</w:t>
      </w:r>
      <w:r w:rsidRPr="001D57B7">
        <w:rPr>
          <w:spacing w:val="-2"/>
        </w:rPr>
        <w:t>interpretazione e nell</w:t>
      </w:r>
      <w:r w:rsidR="00D04C06" w:rsidRPr="001D57B7">
        <w:rPr>
          <w:spacing w:val="-2"/>
        </w:rPr>
        <w:t>’</w:t>
      </w:r>
      <w:r w:rsidRPr="001D57B7">
        <w:rPr>
          <w:spacing w:val="-2"/>
        </w:rPr>
        <w:t>applicazione del trattato, si tratta di una partecipazione che avviene sotto la sorveglianza del giudice supremo del sistema.</w:t>
      </w:r>
    </w:p>
    <w:p w14:paraId="1E5FAC31" w14:textId="007DFF1F" w:rsidR="00CC6E33" w:rsidRPr="00067EB0" w:rsidRDefault="00CC6E33" w:rsidP="00067EB0">
      <w:pPr>
        <w:pStyle w:val="Capoverso"/>
      </w:pPr>
      <w:r w:rsidRPr="00067EB0">
        <w:t>L</w:t>
      </w:r>
      <w:r w:rsidR="00D04C06" w:rsidRPr="00067EB0">
        <w:t>’</w:t>
      </w:r>
      <w:r w:rsidRPr="00067EB0">
        <w:t>art. 19 TUE, nel consegnare alla CGUE l</w:t>
      </w:r>
      <w:r w:rsidR="00D04C06" w:rsidRPr="00067EB0">
        <w:t>’</w:t>
      </w:r>
      <w:r w:rsidRPr="00067EB0">
        <w:t>evocata missione, lo fa con riferimento all</w:t>
      </w:r>
      <w:r w:rsidR="00D04C06" w:rsidRPr="00067EB0">
        <w:t>’</w:t>
      </w:r>
      <w:r w:rsidRPr="00067EB0">
        <w:t>interpretazione e all</w:t>
      </w:r>
      <w:r w:rsidR="00D04C06" w:rsidRPr="00067EB0">
        <w:t>’</w:t>
      </w:r>
      <w:r w:rsidRPr="00067EB0">
        <w:t>applicazione dei trattati intesi nel senso di carta fondamentale dell</w:t>
      </w:r>
      <w:r w:rsidR="00D04C06" w:rsidRPr="00067EB0">
        <w:t>’</w:t>
      </w:r>
      <w:r w:rsidRPr="00067EB0">
        <w:t>ordinamento dell</w:t>
      </w:r>
      <w:r w:rsidR="00D04C06" w:rsidRPr="00067EB0">
        <w:t>’</w:t>
      </w:r>
      <w:r w:rsidRPr="00067EB0">
        <w:t>Unione, nella quale si compendiano tutte le disposizioni di quel sistema e quindi anche il diritto derivato</w:t>
      </w:r>
      <w:r w:rsidR="00557599" w:rsidRPr="00557599">
        <w:rPr>
          <w:rStyle w:val="Rimandonotaapidipagina"/>
        </w:rPr>
        <w:t> </w:t>
      </w:r>
      <w:r w:rsidR="00557599" w:rsidRPr="00557599">
        <w:rPr>
          <w:rStyle w:val="Rimandonotaapidipagina"/>
        </w:rPr>
        <w:footnoteReference w:id="46"/>
      </w:r>
      <w:r w:rsidRPr="00067EB0">
        <w:t>.</w:t>
      </w:r>
    </w:p>
    <w:p w14:paraId="575D8301" w14:textId="34B5DA5D" w:rsidR="00CC6E33" w:rsidRPr="00067EB0" w:rsidRDefault="00CC6E33" w:rsidP="00067EB0">
      <w:pPr>
        <w:pStyle w:val="Capoverso"/>
      </w:pPr>
      <w:r w:rsidRPr="00067EB0">
        <w:t>Anche sotto un diverso profilo, la formulazione letterale dell</w:t>
      </w:r>
      <w:r w:rsidR="00D04C06" w:rsidRPr="00067EB0">
        <w:t>’</w:t>
      </w:r>
      <w:r w:rsidRPr="00067EB0">
        <w:t>art. 19 TUE, suscita qualche riflessione. La norma affida alla CGUE il compito di assicurare il “rispetto del diritto”, non altrimenti qualificato e quindi non riconducibile al solo diritto europeo inteso come complesso di regole scritte (trattati e fonti derivate). In altre parole, la Corte svolge la propria funzione di interprete supremo e garante della nomofilachia dell</w:t>
      </w:r>
      <w:r w:rsidR="00D04C06" w:rsidRPr="00067EB0">
        <w:t>’</w:t>
      </w:r>
      <w:r w:rsidRPr="00067EB0">
        <w:t>ordinamento dell</w:t>
      </w:r>
      <w:r w:rsidR="00D04C06" w:rsidRPr="00067EB0">
        <w:t>’</w:t>
      </w:r>
      <w:r w:rsidRPr="00067EB0">
        <w:t xml:space="preserve">Unione assicurando la correttezza della regola giuridica </w:t>
      </w:r>
      <w:r w:rsidRPr="00853B2F">
        <w:rPr>
          <w:i/>
        </w:rPr>
        <w:t>tout court</w:t>
      </w:r>
      <w:r w:rsidRPr="00067EB0">
        <w:t xml:space="preserve"> e così dando ingresso nel sistema unionale a valori giuridici non necessariamente qualificabili per la loro appartenenza formale alle fonti europee in senso stretto. Nella sua giurisprudenza, la Corte di giustizia si è ampiamente avvalsa delle “aperture” che l</w:t>
      </w:r>
      <w:r w:rsidR="00D04C06" w:rsidRPr="00067EB0">
        <w:t>’</w:t>
      </w:r>
      <w:r w:rsidRPr="00067EB0">
        <w:t>art. 19 TUE (e prima di esso, l</w:t>
      </w:r>
      <w:r w:rsidR="00D04C06" w:rsidRPr="00067EB0">
        <w:t>’</w:t>
      </w:r>
      <w:r w:rsidRPr="00067EB0">
        <w:t xml:space="preserve">art. 220 </w:t>
      </w:r>
      <w:proofErr w:type="spellStart"/>
      <w:r w:rsidR="000E3D39">
        <w:t>T</w:t>
      </w:r>
      <w:r w:rsidR="008D58B7">
        <w:t>r</w:t>
      </w:r>
      <w:proofErr w:type="spellEnd"/>
      <w:r w:rsidR="008D58B7">
        <w:t xml:space="preserve">. </w:t>
      </w:r>
      <w:r w:rsidRPr="00067EB0">
        <w:t>CE) le consentivano verso regole giuridiche o principi propri di altri ordinamenti (degli Stati membri, ma anche dell</w:t>
      </w:r>
      <w:r w:rsidR="00D04C06" w:rsidRPr="00067EB0">
        <w:t>’</w:t>
      </w:r>
      <w:r w:rsidRPr="00067EB0">
        <w:t>ordinamento internazionale) per “integrare” il sistema giuridico comunitario, lacunoso e settoriale, garantendogli la completezza di un ordinamento giuridico e di tale ordinamento favorendo l</w:t>
      </w:r>
      <w:r w:rsidR="00D04C06" w:rsidRPr="00067EB0">
        <w:t>’</w:t>
      </w:r>
      <w:r w:rsidRPr="00067EB0">
        <w:t>evoluzione verso modelli di integrazione anche assai lontani da quello originario.</w:t>
      </w:r>
    </w:p>
    <w:p w14:paraId="3977A7D6" w14:textId="38EED157" w:rsidR="00CC6E33" w:rsidRPr="00067EB0" w:rsidRDefault="00CC6E33" w:rsidP="00067EB0">
      <w:pPr>
        <w:pStyle w:val="Capoverso"/>
      </w:pPr>
      <w:r w:rsidRPr="00067EB0">
        <w:t>È infatti la funzione di garante del “diritto” che ha consentito alla Corte, con la propria giurisprudenza, di creare le basi del sistema giuridico comunitario (ed ora dell</w:t>
      </w:r>
      <w:r w:rsidR="00D04C06" w:rsidRPr="00067EB0">
        <w:t>’</w:t>
      </w:r>
      <w:r w:rsidRPr="00067EB0">
        <w:t>Unione), ricorrendo a principi fondamentali certamente non desumibili direttamente dai trattati e che pure hanno definitivamente caratterizzato l</w:t>
      </w:r>
      <w:r w:rsidR="00D04C06" w:rsidRPr="00067EB0">
        <w:t>’</w:t>
      </w:r>
      <w:r w:rsidRPr="00067EB0">
        <w:t>ordi</w:t>
      </w:r>
      <w:r w:rsidR="00D9053A">
        <w:softHyphen/>
      </w:r>
      <w:r w:rsidRPr="00067EB0">
        <w:t>namento su di essi fondato, quali, ad esempio e in primo luogo, quelli dell</w:t>
      </w:r>
      <w:r w:rsidR="00D04C06" w:rsidRPr="00067EB0">
        <w:t>’</w:t>
      </w:r>
      <w:r w:rsidRPr="00067EB0">
        <w:t>effi</w:t>
      </w:r>
      <w:r w:rsidR="00D9053A">
        <w:softHyphen/>
      </w:r>
      <w:r w:rsidRPr="00067EB0">
        <w:t>cacia diretta del diritto comunitario negli ordinamenti nazionali</w:t>
      </w:r>
      <w:r w:rsidR="00557599" w:rsidRPr="00557599">
        <w:rPr>
          <w:rStyle w:val="Rimandonotaapidipagina"/>
        </w:rPr>
        <w:t> </w:t>
      </w:r>
      <w:r w:rsidR="00557599" w:rsidRPr="00557599">
        <w:rPr>
          <w:rStyle w:val="Rimandonotaapidipagina"/>
        </w:rPr>
        <w:footnoteReference w:id="47"/>
      </w:r>
      <w:r w:rsidRPr="00067EB0">
        <w:t xml:space="preserve"> e della sua </w:t>
      </w:r>
      <w:proofErr w:type="spellStart"/>
      <w:r w:rsidRPr="00853B2F">
        <w:rPr>
          <w:i/>
        </w:rPr>
        <w:t>primauté</w:t>
      </w:r>
      <w:proofErr w:type="spellEnd"/>
      <w:r w:rsidRPr="00853B2F">
        <w:rPr>
          <w:i/>
        </w:rPr>
        <w:t xml:space="preserve"> </w:t>
      </w:r>
      <w:r w:rsidRPr="00067EB0">
        <w:t>rispetto alle fonti interne</w:t>
      </w:r>
      <w:r w:rsidR="00557599" w:rsidRPr="00557599">
        <w:rPr>
          <w:rStyle w:val="Rimandonotaapidipagina"/>
        </w:rPr>
        <w:t> </w:t>
      </w:r>
      <w:r w:rsidR="00557599" w:rsidRPr="00557599">
        <w:rPr>
          <w:rStyle w:val="Rimandonotaapidipagina"/>
        </w:rPr>
        <w:footnoteReference w:id="48"/>
      </w:r>
      <w:r w:rsidRPr="00067EB0">
        <w:t>.</w:t>
      </w:r>
    </w:p>
    <w:p w14:paraId="4C08F7D3" w14:textId="4FBDB9B7" w:rsidR="00D04C06" w:rsidRPr="00067EB0" w:rsidRDefault="00CC6E33" w:rsidP="00067EB0">
      <w:pPr>
        <w:pStyle w:val="Capoverso"/>
      </w:pPr>
      <w:r w:rsidRPr="00067EB0">
        <w:t>Si deve poi all</w:t>
      </w:r>
      <w:r w:rsidR="00D04C06" w:rsidRPr="00067EB0">
        <w:t>’</w:t>
      </w:r>
      <w:r w:rsidRPr="00067EB0">
        <w:t>attività “creatrice” della Corte, in assenza di specifiche prescrizioni del trattato, l</w:t>
      </w:r>
      <w:r w:rsidR="00D04C06" w:rsidRPr="00067EB0">
        <w:t>’</w:t>
      </w:r>
      <w:r w:rsidRPr="00067EB0">
        <w:t>inserimento nel sistema comunitario della categoria dei principi del diritto, pertanto qualificati anche come principi generali del diritto comunitario, in cui la giurisprudenza ha collocato, innanzitutto, i principi relativi alla tutela dei diritti fondamentali dell</w:t>
      </w:r>
      <w:r w:rsidR="00D04C06" w:rsidRPr="00067EB0">
        <w:t>’</w:t>
      </w:r>
      <w:r w:rsidRPr="00067EB0">
        <w:t xml:space="preserve">individuo, ricorrendo ad </w:t>
      </w:r>
      <w:r w:rsidRPr="00067EB0">
        <w:lastRenderedPageBreak/>
        <w:t>una formula pretoria poi semplificata (essendo venuto meno il riferimento alle convenzioni internazionali in materia di diritti umani diverse dalla CEDU) e oggetto di codificazione nell</w:t>
      </w:r>
      <w:r w:rsidR="00D04C06" w:rsidRPr="00067EB0">
        <w:t>’</w:t>
      </w:r>
      <w:r w:rsidRPr="00067EB0">
        <w:t>art. 6, par. 2, TUE</w:t>
      </w:r>
      <w:r w:rsidR="00557599" w:rsidRPr="00557599">
        <w:rPr>
          <w:rStyle w:val="Rimandonotaapidipagina"/>
        </w:rPr>
        <w:t> </w:t>
      </w:r>
      <w:r w:rsidR="00557599" w:rsidRPr="00557599">
        <w:rPr>
          <w:rStyle w:val="Rimandonotaapidipagina"/>
        </w:rPr>
        <w:footnoteReference w:id="49"/>
      </w:r>
      <w:r w:rsidRPr="00067EB0">
        <w:t>. Per sua natura, il ricorso alla categoria di principi generali di diritto comunitario ha consentito alla Corte di assicurare un</w:t>
      </w:r>
      <w:r w:rsidR="00D04C06" w:rsidRPr="00067EB0">
        <w:t>’</w:t>
      </w:r>
      <w:r w:rsidRPr="00067EB0">
        <w:t>elevata tutela ai diritti fondamentali della persona, “trascinando” in avanti i sistemi costituzionali nazionali che per alcuni aspetti si attestavano su livelli di tutela inferiore. L</w:t>
      </w:r>
      <w:r w:rsidR="00D04C06" w:rsidRPr="00067EB0">
        <w:t>’</w:t>
      </w:r>
      <w:r w:rsidRPr="00067EB0">
        <w:t xml:space="preserve">entrata in vigore, successivamente, della </w:t>
      </w:r>
      <w:r w:rsidR="00D074B7">
        <w:t xml:space="preserve">CDFUE </w:t>
      </w:r>
      <w:r w:rsidRPr="00067EB0">
        <w:t>ha quindi rappresentato un momento di continuità rispetto ad una già consolidata protezione dei diritti dell</w:t>
      </w:r>
      <w:r w:rsidR="00D04C06" w:rsidRPr="00067EB0">
        <w:t>’</w:t>
      </w:r>
      <w:r w:rsidRPr="00067EB0">
        <w:t>uomo nell</w:t>
      </w:r>
      <w:r w:rsidR="00D04C06" w:rsidRPr="00067EB0">
        <w:t>’</w:t>
      </w:r>
      <w:r w:rsidRPr="00067EB0">
        <w:t>ordinamento dell</w:t>
      </w:r>
      <w:r w:rsidR="00D04C06" w:rsidRPr="00067EB0">
        <w:t>’</w:t>
      </w:r>
      <w:r w:rsidRPr="00067EB0">
        <w:t>Unione.</w:t>
      </w:r>
    </w:p>
    <w:p w14:paraId="34377C6E" w14:textId="590825B3" w:rsidR="00CC6E33" w:rsidRPr="00067EB0" w:rsidRDefault="00CC6E33" w:rsidP="00067EB0">
      <w:pPr>
        <w:pStyle w:val="Capoverso"/>
      </w:pPr>
      <w:r w:rsidRPr="00067EB0">
        <w:t>Per quel che concerne la funzione di assicurare il rispetto del diritto nel</w:t>
      </w:r>
      <w:r w:rsidR="001D57B7">
        <w:softHyphen/>
      </w:r>
      <w:r w:rsidRPr="00067EB0">
        <w:t>l</w:t>
      </w:r>
      <w:r w:rsidR="00D04C06" w:rsidRPr="00067EB0">
        <w:t>’</w:t>
      </w:r>
      <w:r w:rsidRPr="00853B2F">
        <w:rPr>
          <w:i/>
        </w:rPr>
        <w:t>in</w:t>
      </w:r>
      <w:r w:rsidR="001D57B7">
        <w:rPr>
          <w:i/>
        </w:rPr>
        <w:softHyphen/>
      </w:r>
      <w:r w:rsidRPr="00853B2F">
        <w:rPr>
          <w:i/>
        </w:rPr>
        <w:t>terpretazione</w:t>
      </w:r>
      <w:r w:rsidRPr="00067EB0">
        <w:t xml:space="preserve"> dei trattati, espressamente prevista dall</w:t>
      </w:r>
      <w:r w:rsidR="00D04C06" w:rsidRPr="00067EB0">
        <w:t>’</w:t>
      </w:r>
      <w:r w:rsidRPr="00067EB0">
        <w:t>art. 19 TUE, la funzione nomofilattica attribuita al giudice dell</w:t>
      </w:r>
      <w:r w:rsidR="00D04C06" w:rsidRPr="00067EB0">
        <w:t>’</w:t>
      </w:r>
      <w:r w:rsidRPr="00067EB0">
        <w:t>Unione si realizza pienamente, come già accennato, nell</w:t>
      </w:r>
      <w:r w:rsidR="00D04C06" w:rsidRPr="00067EB0">
        <w:t>’</w:t>
      </w:r>
      <w:r w:rsidRPr="00067EB0">
        <w:t>esercizio della competenza pregiudiziale, laddove la Corte di giustizia (ed ora anche il Tribunale, nelle materie specifiche indicate dallo Statuto e con i limiti su indicati) è richiesta da una giurisdizione nazionale di fornire con sentenza un</w:t>
      </w:r>
      <w:r w:rsidR="00D04C06" w:rsidRPr="00067EB0">
        <w:t>’</w:t>
      </w:r>
      <w:r w:rsidRPr="00067EB0">
        <w:t>interpretazione vincolante delle norme del diritto dell</w:t>
      </w:r>
      <w:r w:rsidR="00D04C06" w:rsidRPr="00067EB0">
        <w:t>’</w:t>
      </w:r>
      <w:r w:rsidRPr="00067EB0">
        <w:t xml:space="preserve">Unione. Le decisioni assunte dalla Corte in tale contesto sublimano la sua funzione di garante del rispetto del diritto, imponendosi come obbligatorie nei confronti non solo del giudice </w:t>
      </w:r>
      <w:r w:rsidRPr="00853B2F">
        <w:rPr>
          <w:i/>
        </w:rPr>
        <w:t>a quo</w:t>
      </w:r>
      <w:r w:rsidRPr="00067EB0">
        <w:t xml:space="preserve">, ma anche, salva la richiesta espressa di una nuova pronuncia (ed eventuale </w:t>
      </w:r>
      <w:r w:rsidRPr="00853B2F">
        <w:rPr>
          <w:i/>
        </w:rPr>
        <w:t>revirement</w:t>
      </w:r>
      <w:r w:rsidRPr="00067EB0">
        <w:t>), di ogni altra giurisdizione operante nel territorio degli Stati membri. È solo in questo senso, nonché con riferimento al</w:t>
      </w:r>
      <w:r w:rsidR="001D57B7">
        <w:softHyphen/>
      </w:r>
      <w:r w:rsidRPr="00067EB0">
        <w:t>l</w:t>
      </w:r>
      <w:r w:rsidR="00D04C06" w:rsidRPr="00067EB0">
        <w:t>’</w:t>
      </w:r>
      <w:r w:rsidRPr="00067EB0">
        <w:t xml:space="preserve">obbligo di rinvio che incombe sulle giurisdizioni le cui decisioni non sono suscettibili di ricorso (art. 267 TFUE, terzo comma), che va intesa come </w:t>
      </w:r>
      <w:r w:rsidRPr="00853B2F">
        <w:rPr>
          <w:i/>
        </w:rPr>
        <w:t>esclusiva</w:t>
      </w:r>
      <w:r w:rsidRPr="00067EB0">
        <w:t xml:space="preserve"> la funzione interpretativa del diritto dell</w:t>
      </w:r>
      <w:r w:rsidR="00D04C06" w:rsidRPr="00067EB0">
        <w:t>’</w:t>
      </w:r>
      <w:r w:rsidRPr="00067EB0">
        <w:t>Unione attribuita alla Corte di giustizia, funzione per il resto conferita al giudice “comune” del diritto dell</w:t>
      </w:r>
      <w:r w:rsidR="00D04C06" w:rsidRPr="00067EB0">
        <w:t>’</w:t>
      </w:r>
      <w:r w:rsidRPr="00067EB0">
        <w:t>Unione, vale a dire al giudice nazionale, in sede di applicazione della norma europea nelle controversie che è chiamato a decidere.</w:t>
      </w:r>
    </w:p>
    <w:p w14:paraId="4FAD5CA1" w14:textId="5A26E949" w:rsidR="00CC6E33" w:rsidRPr="001D57B7" w:rsidRDefault="00CC6E33" w:rsidP="00067EB0">
      <w:pPr>
        <w:pStyle w:val="Capoverso"/>
        <w:rPr>
          <w:spacing w:val="-2"/>
        </w:rPr>
      </w:pPr>
      <w:r w:rsidRPr="001D57B7">
        <w:rPr>
          <w:spacing w:val="-2"/>
        </w:rPr>
        <w:t>Nel suo ruolo di garante della nomofilachia nel diritto dell</w:t>
      </w:r>
      <w:r w:rsidR="00D04C06" w:rsidRPr="001D57B7">
        <w:rPr>
          <w:spacing w:val="-2"/>
        </w:rPr>
        <w:t>’</w:t>
      </w:r>
      <w:r w:rsidRPr="001D57B7">
        <w:rPr>
          <w:spacing w:val="-2"/>
        </w:rPr>
        <w:t>Unione, la Corte utilizza tecniche solo parzialmente riconducibili a quelle tradizionali del diritto internazionale come codificate nella Convenzione di Vienna del 1969 sul diritto dei trattati. Si è spesso fatto riferimento alle speciali caratteristiche dell</w:t>
      </w:r>
      <w:r w:rsidR="00D04C06" w:rsidRPr="001D57B7">
        <w:rPr>
          <w:spacing w:val="-2"/>
        </w:rPr>
        <w:t>’</w:t>
      </w:r>
      <w:r w:rsidRPr="001D57B7">
        <w:rPr>
          <w:spacing w:val="-2"/>
        </w:rPr>
        <w:t>ordina</w:t>
      </w:r>
      <w:r w:rsidR="001D57B7" w:rsidRPr="001D57B7">
        <w:rPr>
          <w:spacing w:val="-2"/>
        </w:rPr>
        <w:softHyphen/>
      </w:r>
      <w:r w:rsidRPr="001D57B7">
        <w:rPr>
          <w:spacing w:val="-2"/>
        </w:rPr>
        <w:t>mento europeo, che richiede metodi ermeneutici del tutto particolari</w:t>
      </w:r>
      <w:r w:rsidR="00557599" w:rsidRPr="001D57B7">
        <w:rPr>
          <w:rStyle w:val="Rimandonotaapidipagina"/>
          <w:spacing w:val="-2"/>
        </w:rPr>
        <w:t> </w:t>
      </w:r>
      <w:r w:rsidR="00557599" w:rsidRPr="001D57B7">
        <w:rPr>
          <w:rStyle w:val="Rimandonotaapidipagina"/>
          <w:spacing w:val="-2"/>
        </w:rPr>
        <w:footnoteReference w:id="50"/>
      </w:r>
      <w:r w:rsidRPr="001D57B7">
        <w:rPr>
          <w:spacing w:val="-2"/>
        </w:rPr>
        <w:t>, comunque funzionali all</w:t>
      </w:r>
      <w:r w:rsidR="00D04C06" w:rsidRPr="001D57B7">
        <w:rPr>
          <w:spacing w:val="-2"/>
        </w:rPr>
        <w:t>’</w:t>
      </w:r>
      <w:r w:rsidRPr="001D57B7">
        <w:rPr>
          <w:spacing w:val="-2"/>
        </w:rPr>
        <w:t>obiettivo dell</w:t>
      </w:r>
      <w:r w:rsidR="00D04C06" w:rsidRPr="001D57B7">
        <w:rPr>
          <w:spacing w:val="-2"/>
        </w:rPr>
        <w:t>’</w:t>
      </w:r>
      <w:r w:rsidRPr="001D57B7">
        <w:rPr>
          <w:spacing w:val="-2"/>
        </w:rPr>
        <w:t xml:space="preserve">integrazione dei sistemi giuridici </w:t>
      </w:r>
      <w:r w:rsidRPr="001D57B7">
        <w:rPr>
          <w:spacing w:val="-2"/>
        </w:rPr>
        <w:lastRenderedPageBreak/>
        <w:t>degli Stati membri. L</w:t>
      </w:r>
      <w:r w:rsidR="00D04C06" w:rsidRPr="001D57B7">
        <w:rPr>
          <w:spacing w:val="-2"/>
        </w:rPr>
        <w:t>’</w:t>
      </w:r>
      <w:r w:rsidRPr="001D57B7">
        <w:rPr>
          <w:spacing w:val="-2"/>
        </w:rPr>
        <w:t>obiettivo dichiarato della Corte è, infatti, quello di giungere, attraverso l</w:t>
      </w:r>
      <w:r w:rsidR="00D04C06" w:rsidRPr="001D57B7">
        <w:rPr>
          <w:spacing w:val="-2"/>
        </w:rPr>
        <w:t>’</w:t>
      </w:r>
      <w:r w:rsidRPr="001D57B7">
        <w:rPr>
          <w:spacing w:val="-2"/>
        </w:rPr>
        <w:t>in</w:t>
      </w:r>
      <w:r w:rsidR="001D57B7">
        <w:rPr>
          <w:spacing w:val="-2"/>
        </w:rPr>
        <w:softHyphen/>
      </w:r>
      <w:r w:rsidRPr="001D57B7">
        <w:rPr>
          <w:spacing w:val="-2"/>
        </w:rPr>
        <w:t xml:space="preserve">terpretazione dei trattati e degli atti delle istituzioni, ad uno </w:t>
      </w:r>
      <w:r w:rsidRPr="001D57B7">
        <w:rPr>
          <w:i/>
          <w:spacing w:val="-2"/>
        </w:rPr>
        <w:t>sviluppo progressivo</w:t>
      </w:r>
      <w:r w:rsidRPr="001D57B7">
        <w:rPr>
          <w:spacing w:val="-2"/>
        </w:rPr>
        <w:t xml:space="preserve"> dell</w:t>
      </w:r>
      <w:r w:rsidR="00D04C06" w:rsidRPr="001D57B7">
        <w:rPr>
          <w:spacing w:val="-2"/>
        </w:rPr>
        <w:t>’</w:t>
      </w:r>
      <w:r w:rsidRPr="001D57B7">
        <w:rPr>
          <w:spacing w:val="-2"/>
        </w:rPr>
        <w:t>integrazione comunitaria, preferendo l</w:t>
      </w:r>
      <w:r w:rsidR="00D04C06" w:rsidRPr="001D57B7">
        <w:rPr>
          <w:spacing w:val="-2"/>
        </w:rPr>
        <w:t>’</w:t>
      </w:r>
      <w:r w:rsidRPr="001D57B7">
        <w:rPr>
          <w:spacing w:val="-2"/>
        </w:rPr>
        <w:t>interpretazione che, pur non esattamente corrispondente alla lettera della norma, appare maggiormente confacente al raggiungimento degli scopi dei trattati: ciò giustifica, ad esempio, che disposizioni derogatorie rispetto ad una “libertà economica fondamentale” garantita dal trattato siano da interpretare restrittivamente</w:t>
      </w:r>
      <w:r w:rsidR="00DC56E2" w:rsidRPr="001D57B7">
        <w:rPr>
          <w:spacing w:val="-2"/>
          <w:vertAlign w:val="superscript"/>
        </w:rPr>
        <w:t> </w:t>
      </w:r>
      <w:r w:rsidR="00557599" w:rsidRPr="001D57B7">
        <w:rPr>
          <w:rStyle w:val="Rimandonotaapidipagina"/>
          <w:spacing w:val="-2"/>
        </w:rPr>
        <w:footnoteReference w:id="51"/>
      </w:r>
      <w:r w:rsidRPr="001D57B7">
        <w:rPr>
          <w:spacing w:val="-2"/>
        </w:rPr>
        <w:t>. Inoltre, è sempre da preferire un</w:t>
      </w:r>
      <w:r w:rsidR="00D04C06" w:rsidRPr="001D57B7">
        <w:rPr>
          <w:spacing w:val="-2"/>
        </w:rPr>
        <w:t>’</w:t>
      </w:r>
      <w:r w:rsidRPr="001D57B7">
        <w:rPr>
          <w:spacing w:val="-2"/>
        </w:rPr>
        <w:t>interpretazione delle disposizioni del Trattato e del diritto derivato che garantisca la più ampia tutela dei diritti fondamentali tutelati dal diritto dell</w:t>
      </w:r>
      <w:r w:rsidR="00D04C06" w:rsidRPr="001D57B7">
        <w:rPr>
          <w:spacing w:val="-2"/>
        </w:rPr>
        <w:t>’</w:t>
      </w:r>
      <w:r w:rsidRPr="001D57B7">
        <w:rPr>
          <w:spacing w:val="-2"/>
        </w:rPr>
        <w:t>Unione</w:t>
      </w:r>
      <w:r w:rsidR="00557599" w:rsidRPr="001D57B7">
        <w:rPr>
          <w:rStyle w:val="Rimandonotaapidipagina"/>
          <w:spacing w:val="-2"/>
        </w:rPr>
        <w:t> </w:t>
      </w:r>
      <w:r w:rsidR="00557599" w:rsidRPr="001D57B7">
        <w:rPr>
          <w:rStyle w:val="Rimandonotaapidipagina"/>
          <w:spacing w:val="-2"/>
        </w:rPr>
        <w:footnoteReference w:id="52"/>
      </w:r>
      <w:r w:rsidRPr="001D57B7">
        <w:rPr>
          <w:spacing w:val="-2"/>
        </w:rPr>
        <w:t>.</w:t>
      </w:r>
    </w:p>
    <w:p w14:paraId="1670675E" w14:textId="7BA57327" w:rsidR="00D04C06" w:rsidRPr="00067EB0" w:rsidRDefault="00CC6E33" w:rsidP="00067EB0">
      <w:pPr>
        <w:pStyle w:val="Capoverso"/>
      </w:pPr>
      <w:r w:rsidRPr="00067EB0">
        <w:t xml:space="preserve">In presenza di ambiguità nella portata normativa dei testi </w:t>
      </w:r>
      <w:r w:rsidR="007B20AF">
        <w:t>dell’Unione</w:t>
      </w:r>
      <w:r w:rsidRPr="00067EB0">
        <w:t>, ovvero nel caso in cui un termine o una nozione utilizzata in un atto non siano oggetto di definizione</w:t>
      </w:r>
      <w:r w:rsidR="00557599" w:rsidRPr="00557599">
        <w:rPr>
          <w:rStyle w:val="Rimandonotaapidipagina"/>
        </w:rPr>
        <w:t> </w:t>
      </w:r>
      <w:r w:rsidR="00557599" w:rsidRPr="00557599">
        <w:rPr>
          <w:rStyle w:val="Rimandonotaapidipagina"/>
        </w:rPr>
        <w:footnoteReference w:id="53"/>
      </w:r>
      <w:r w:rsidRPr="00067EB0">
        <w:t>, la Corte ricorre a metodi interpretativi supplementari rispetto alla portata letterale della norma</w:t>
      </w:r>
      <w:r w:rsidR="00557599" w:rsidRPr="00557599">
        <w:rPr>
          <w:rStyle w:val="Rimandonotaapidipagina"/>
        </w:rPr>
        <w:t> </w:t>
      </w:r>
      <w:r w:rsidR="00557599" w:rsidRPr="00557599">
        <w:rPr>
          <w:rStyle w:val="Rimandonotaapidipagina"/>
        </w:rPr>
        <w:footnoteReference w:id="54"/>
      </w:r>
      <w:r w:rsidRPr="00067EB0">
        <w:t>, vale a dire all</w:t>
      </w:r>
      <w:r w:rsidR="00D04C06" w:rsidRPr="00067EB0">
        <w:t>’</w:t>
      </w:r>
      <w:r w:rsidRPr="00067EB0">
        <w:t xml:space="preserve">interpretazione </w:t>
      </w:r>
      <w:r w:rsidRPr="00853B2F">
        <w:rPr>
          <w:i/>
        </w:rPr>
        <w:t>sistematica o contestuale</w:t>
      </w:r>
      <w:r w:rsidRPr="00067EB0">
        <w:t>, confrontando il testo della norma controversa con l</w:t>
      </w:r>
      <w:r w:rsidR="00D04C06" w:rsidRPr="00067EB0">
        <w:t>’</w:t>
      </w:r>
      <w:r w:rsidRPr="00067EB0">
        <w:t>insieme delle disposizioni rilevanti rinvenibili nell</w:t>
      </w:r>
      <w:r w:rsidR="00D04C06" w:rsidRPr="00067EB0">
        <w:t>’</w:t>
      </w:r>
      <w:r w:rsidRPr="00067EB0">
        <w:t>atto alla quale appartiene e più in generale nella legislazione europea</w:t>
      </w:r>
      <w:r w:rsidR="00557599" w:rsidRPr="00557599">
        <w:rPr>
          <w:rStyle w:val="Rimandonotaapidipagina"/>
        </w:rPr>
        <w:t> </w:t>
      </w:r>
      <w:r w:rsidR="00557599" w:rsidRPr="00557599">
        <w:rPr>
          <w:rStyle w:val="Rimandonotaapidipagina"/>
        </w:rPr>
        <w:footnoteReference w:id="55"/>
      </w:r>
      <w:r w:rsidRPr="00067EB0">
        <w:t>; all</w:t>
      </w:r>
      <w:r w:rsidR="00D04C06" w:rsidRPr="00067EB0">
        <w:t>’</w:t>
      </w:r>
      <w:r w:rsidRPr="00067EB0">
        <w:t>interpre</w:t>
      </w:r>
      <w:r w:rsidR="001D57B7">
        <w:softHyphen/>
      </w:r>
      <w:r w:rsidRPr="00067EB0">
        <w:t xml:space="preserve">tazione </w:t>
      </w:r>
      <w:r w:rsidRPr="00853B2F">
        <w:rPr>
          <w:i/>
        </w:rPr>
        <w:t>teleologica</w:t>
      </w:r>
      <w:r w:rsidRPr="00067EB0">
        <w:t>, per cui deve essere tenuto in considerazione l</w:t>
      </w:r>
      <w:r w:rsidR="00D04C06" w:rsidRPr="00067EB0">
        <w:t>’</w:t>
      </w:r>
      <w:r w:rsidRPr="00067EB0">
        <w:t>obiettivo perseguito dalla disposizione in parola</w:t>
      </w:r>
      <w:r w:rsidR="00557599" w:rsidRPr="00557599">
        <w:rPr>
          <w:rStyle w:val="Rimandonotaapidipagina"/>
        </w:rPr>
        <w:t> </w:t>
      </w:r>
      <w:r w:rsidR="00557599" w:rsidRPr="00557599">
        <w:rPr>
          <w:rStyle w:val="Rimandonotaapidipagina"/>
        </w:rPr>
        <w:footnoteReference w:id="56"/>
      </w:r>
      <w:r w:rsidRPr="00067EB0">
        <w:t>, collegata alla teoria dell</w:t>
      </w:r>
      <w:r w:rsidR="00D04C06" w:rsidRPr="00067EB0">
        <w:t>’</w:t>
      </w:r>
      <w:r w:rsidRPr="00853B2F">
        <w:rPr>
          <w:i/>
        </w:rPr>
        <w:t>effetto utile</w:t>
      </w:r>
      <w:r w:rsidRPr="00067EB0">
        <w:t>, per cui in presenza di ambiguità deve essere prescelta l</w:t>
      </w:r>
      <w:r w:rsidR="00D04C06" w:rsidRPr="00067EB0">
        <w:t>’</w:t>
      </w:r>
      <w:r w:rsidRPr="00067EB0">
        <w:t>interpretazione che consenta alla disposizione in discorso di raggiungere pienamente il suo scopo</w:t>
      </w:r>
      <w:r w:rsidR="00557599" w:rsidRPr="00557599">
        <w:rPr>
          <w:rStyle w:val="Rimandonotaapidipagina"/>
        </w:rPr>
        <w:t> </w:t>
      </w:r>
      <w:r w:rsidR="00557599" w:rsidRPr="00557599">
        <w:rPr>
          <w:rStyle w:val="Rimandonotaapidipagina"/>
        </w:rPr>
        <w:footnoteReference w:id="57"/>
      </w:r>
      <w:r w:rsidRPr="00067EB0">
        <w:t>; infine, al</w:t>
      </w:r>
      <w:r w:rsidR="001D57B7">
        <w:softHyphen/>
      </w:r>
      <w:r w:rsidRPr="00067EB0">
        <w:t>l</w:t>
      </w:r>
      <w:r w:rsidR="00D04C06" w:rsidRPr="00067EB0">
        <w:t>’</w:t>
      </w:r>
      <w:r w:rsidRPr="00067EB0">
        <w:t xml:space="preserve">interpretazione </w:t>
      </w:r>
      <w:r w:rsidRPr="00853B2F">
        <w:rPr>
          <w:i/>
        </w:rPr>
        <w:t>storica</w:t>
      </w:r>
      <w:r w:rsidRPr="00067EB0">
        <w:t>, vale a dire ai lavori preparatori, oggi disponibili non solo per gli atti delle istituzioni e per i trattati di modifica, ma anche per i trattati istitutivi degli anni cinquanta, sino a tempi recenti secretati per volontà degli Stati membri. In presenza di difformità tra i testi redatti nelle varie lingue del</w:t>
      </w:r>
      <w:r w:rsidR="001D57B7">
        <w:softHyphen/>
      </w:r>
      <w:r w:rsidRPr="00067EB0">
        <w:t>l</w:t>
      </w:r>
      <w:r w:rsidR="00D04C06" w:rsidRPr="00067EB0">
        <w:t>’</w:t>
      </w:r>
      <w:r w:rsidRPr="00067EB0">
        <w:t xml:space="preserve">Unione, tutte lingue ufficiali, </w:t>
      </w:r>
      <w:r w:rsidRPr="00067EB0">
        <w:lastRenderedPageBreak/>
        <w:t>va preferita un</w:t>
      </w:r>
      <w:r w:rsidR="00D04C06" w:rsidRPr="00067EB0">
        <w:t>’</w:t>
      </w:r>
      <w:r w:rsidRPr="00067EB0">
        <w:t>interpretazione che riesca ad armonizzare le varie versioni</w:t>
      </w:r>
      <w:r w:rsidR="00557599" w:rsidRPr="00557599">
        <w:rPr>
          <w:rStyle w:val="Rimandonotaapidipagina"/>
        </w:rPr>
        <w:t> </w:t>
      </w:r>
      <w:r w:rsidR="00557599" w:rsidRPr="00557599">
        <w:rPr>
          <w:rStyle w:val="Rimandonotaapidipagina"/>
        </w:rPr>
        <w:footnoteReference w:id="58"/>
      </w:r>
      <w:r w:rsidRPr="00067EB0">
        <w:t>.</w:t>
      </w:r>
    </w:p>
    <w:p w14:paraId="2D5DAE9D" w14:textId="6052A4F8" w:rsidR="00CC6E33" w:rsidRPr="00860493" w:rsidRDefault="00CC6E33" w:rsidP="00676871">
      <w:pPr>
        <w:pStyle w:val="Sottoparagrafo"/>
      </w:pPr>
      <w:r w:rsidRPr="005B2A4A">
        <w:rPr>
          <w:rStyle w:val="SottoparagrafoCarattere"/>
        </w:rPr>
        <w:t xml:space="preserve">4.1. </w:t>
      </w:r>
      <w:r w:rsidRPr="00785AA1">
        <w:rPr>
          <w:i w:val="0"/>
          <w:iCs w:val="0"/>
        </w:rPr>
        <w:t>(Segue):</w:t>
      </w:r>
      <w:r w:rsidRPr="005B2A4A">
        <w:t xml:space="preserve"> </w:t>
      </w:r>
      <w:r w:rsidRPr="00853B2F">
        <w:t>composizione, funzionamento e competenze</w:t>
      </w:r>
    </w:p>
    <w:p w14:paraId="7E009599" w14:textId="6CEFA500" w:rsidR="00CC6E33" w:rsidRPr="00067EB0" w:rsidRDefault="00CC6E33" w:rsidP="00067EB0">
      <w:pPr>
        <w:pStyle w:val="Capoverso"/>
      </w:pPr>
      <w:r w:rsidRPr="00067EB0">
        <w:t xml:space="preserve">Le regole di diritto primario inerenti </w:t>
      </w:r>
      <w:proofErr w:type="gramStart"/>
      <w:r w:rsidRPr="00067EB0">
        <w:t>la</w:t>
      </w:r>
      <w:proofErr w:type="gramEnd"/>
      <w:r w:rsidRPr="00067EB0">
        <w:t xml:space="preserve"> composizione e l</w:t>
      </w:r>
      <w:r w:rsidR="00D04C06" w:rsidRPr="00067EB0">
        <w:t>’</w:t>
      </w:r>
      <w:r w:rsidRPr="00067EB0">
        <w:t>organizzazione della Corte di giustizia, nonché le sue competenze ed il suo funzionamento, si rinvengono, come già anticipato, nei due Trattati istitutivi e nel protocollo sullo Statuto della Corte stessa.</w:t>
      </w:r>
    </w:p>
    <w:p w14:paraId="62018449" w14:textId="0EE2ECFA" w:rsidR="00D04C06" w:rsidRPr="00067EB0" w:rsidRDefault="00CC6E33" w:rsidP="00067EB0">
      <w:pPr>
        <w:pStyle w:val="Capoverso"/>
      </w:pPr>
      <w:r w:rsidRPr="00067EB0">
        <w:rPr>
          <w:snapToGrid w:val="0"/>
        </w:rPr>
        <w:t xml:space="preserve">Per quel che concerne la </w:t>
      </w:r>
      <w:r w:rsidRPr="00853B2F">
        <w:rPr>
          <w:i/>
          <w:snapToGrid w:val="0"/>
        </w:rPr>
        <w:t xml:space="preserve">composizione </w:t>
      </w:r>
      <w:r w:rsidRPr="00067EB0">
        <w:rPr>
          <w:snapToGrid w:val="0"/>
        </w:rPr>
        <w:t>della Corte, le regole di base si rinvengono all</w:t>
      </w:r>
      <w:r w:rsidR="00D04C06" w:rsidRPr="00067EB0">
        <w:rPr>
          <w:snapToGrid w:val="0"/>
        </w:rPr>
        <w:t>’</w:t>
      </w:r>
      <w:r w:rsidRPr="00067EB0">
        <w:rPr>
          <w:snapToGrid w:val="0"/>
        </w:rPr>
        <w:t>art. 19</w:t>
      </w:r>
      <w:r w:rsidR="000E3D39">
        <w:rPr>
          <w:snapToGrid w:val="0"/>
        </w:rPr>
        <w:t xml:space="preserve">, </w:t>
      </w:r>
      <w:r w:rsidR="00D325FB">
        <w:rPr>
          <w:snapToGrid w:val="0"/>
        </w:rPr>
        <w:t xml:space="preserve">par. 2, </w:t>
      </w:r>
      <w:r w:rsidRPr="00067EB0">
        <w:rPr>
          <w:snapToGrid w:val="0"/>
        </w:rPr>
        <w:t>TUE. S</w:t>
      </w:r>
      <w:r w:rsidRPr="00067EB0">
        <w:t xml:space="preserve">comparso con il Trattato di Nizza il preesistente riferimento numerico, la disposizione ora citata prevede al primo comma che «la Corte di giustizia è composta da un giudice per Stato membro», dunque, dopo la </w:t>
      </w:r>
      <w:r w:rsidRPr="00853B2F">
        <w:rPr>
          <w:i/>
          <w:iCs/>
        </w:rPr>
        <w:t>Brexit</w:t>
      </w:r>
      <w:r w:rsidRPr="00067EB0">
        <w:t>, da ventisette giudici. Se, da un lato, il rinvio al numero degli Stati membri consente di adattare la composizione della Corte alle eventuali nuove adesioni (o recessi) degli Stati membri, senza necessità di modificare il testo del Trattato, dall</w:t>
      </w:r>
      <w:r w:rsidR="00D04C06" w:rsidRPr="00067EB0">
        <w:t>’</w:t>
      </w:r>
      <w:r w:rsidRPr="00067EB0">
        <w:t xml:space="preserve">altro una regola così rigida esclude che il numero dei giudici possa essere </w:t>
      </w:r>
      <w:r w:rsidRPr="00853B2F">
        <w:rPr>
          <w:i/>
        </w:rPr>
        <w:t>superiore</w:t>
      </w:r>
      <w:r w:rsidRPr="00067EB0">
        <w:t xml:space="preserve"> o </w:t>
      </w:r>
      <w:r w:rsidRPr="00853B2F">
        <w:rPr>
          <w:i/>
        </w:rPr>
        <w:t>inferiore</w:t>
      </w:r>
      <w:r w:rsidRPr="00067EB0">
        <w:t xml:space="preserve"> a quello degli Stati membri – come peraltro è avvenuto in alcune fasi storiche in ragione della necessità di garantire un numero disparì di giudici a fronte del numero pari degli Stati membri – anche qualora le esigenze del funzionamento della Corte lo suggerissero, sublimando così il principio di “rappresentanza” (in senso atecnico: v. </w:t>
      </w:r>
      <w:r w:rsidRPr="00853B2F">
        <w:rPr>
          <w:i/>
          <w:iCs/>
        </w:rPr>
        <w:t>infra</w:t>
      </w:r>
      <w:r w:rsidRPr="00067EB0">
        <w:t>) nella composizione del</w:t>
      </w:r>
      <w:r w:rsidR="001D57B7">
        <w:softHyphen/>
      </w:r>
      <w:r w:rsidRPr="00067EB0">
        <w:t>l</w:t>
      </w:r>
      <w:r w:rsidR="00D04C06" w:rsidRPr="00067EB0">
        <w:t>’</w:t>
      </w:r>
      <w:r w:rsidRPr="00067EB0">
        <w:t>istituzione ed avvicinandola, da questo punto di vista, alle corti internazionali tradizionali. Va da sé, tuttavia, che la scelta del principio “uno Stato/un giudice”, se appare funzionale a garantire, da questo punto di vista, l</w:t>
      </w:r>
      <w:r w:rsidR="00D04C06" w:rsidRPr="00067EB0">
        <w:t>’</w:t>
      </w:r>
      <w:r w:rsidRPr="00067EB0">
        <w:t>eguaglianza tra Stati membri, va coordinato con il principio, egualmente fondamentale, dell</w:t>
      </w:r>
      <w:r w:rsidR="00D04C06" w:rsidRPr="00067EB0">
        <w:t>’</w:t>
      </w:r>
      <w:r w:rsidRPr="00067EB0">
        <w:t>in</w:t>
      </w:r>
      <w:r w:rsidR="001D57B7">
        <w:softHyphen/>
      </w:r>
      <w:r w:rsidRPr="00067EB0">
        <w:t>dipendenza dei giudici, intesa come riferibile anche allo Stato di provenienza.</w:t>
      </w:r>
    </w:p>
    <w:p w14:paraId="0AD804A5" w14:textId="274293EF" w:rsidR="00D04C06" w:rsidRPr="00067EB0" w:rsidRDefault="00CC6E33" w:rsidP="00067EB0">
      <w:pPr>
        <w:pStyle w:val="Capoverso"/>
      </w:pPr>
      <w:r w:rsidRPr="00067EB0">
        <w:rPr>
          <w:snapToGrid w:val="0"/>
        </w:rPr>
        <w:t>I giudici</w:t>
      </w:r>
      <w:r w:rsidRPr="00067EB0">
        <w:t xml:space="preserve"> della Corte, così come, del resto, gli A.G., sono da sempre nominati di comune accordo dai governi degli Stati membri con mandato (rinnovabile) di sei anni (art. 19 TUE, par. 2, terzo comma)</w:t>
      </w:r>
      <w:r w:rsidR="00557599" w:rsidRPr="00557599">
        <w:rPr>
          <w:rStyle w:val="Rimandonotaapidipagina"/>
        </w:rPr>
        <w:t> </w:t>
      </w:r>
      <w:r w:rsidR="00557599" w:rsidRPr="00557599">
        <w:rPr>
          <w:rStyle w:val="Rimandonotaapidipagina"/>
        </w:rPr>
        <w:footnoteReference w:id="59"/>
      </w:r>
      <w:r w:rsidRPr="00067EB0">
        <w:t>, con rinnovo parziale ogni tre anni per garantire la continuità del lavoro della giurisdizione. Tuttavia, la procedura di nomina dei membri della Corte ha conosciuto rilevanti modifiche con le successive revisioni dei trattati istitutivi.</w:t>
      </w:r>
    </w:p>
    <w:p w14:paraId="02837FC0" w14:textId="1A32632B" w:rsidR="00D04C06" w:rsidRPr="00067EB0" w:rsidRDefault="00CC6E33" w:rsidP="00067EB0">
      <w:pPr>
        <w:pStyle w:val="Capoverso"/>
        <w:rPr>
          <w:snapToGrid w:val="0"/>
        </w:rPr>
      </w:pPr>
      <w:r w:rsidRPr="00067EB0">
        <w:t xml:space="preserve">Nel sistema attualmente vigente, </w:t>
      </w:r>
      <w:r w:rsidRPr="00853B2F">
        <w:rPr>
          <w:i/>
        </w:rPr>
        <w:t>la prima fase</w:t>
      </w:r>
      <w:r w:rsidRPr="00067EB0">
        <w:t xml:space="preserve"> della procedura consiste nella designazione di un candidato da parte dello Stato membro. Nonostante l</w:t>
      </w:r>
      <w:r w:rsidR="00D04C06" w:rsidRPr="00067EB0">
        <w:t>’</w:t>
      </w:r>
      <w:r w:rsidRPr="00067EB0">
        <w:t>assen</w:t>
      </w:r>
      <w:r w:rsidR="001D57B7">
        <w:softHyphen/>
      </w:r>
      <w:r w:rsidRPr="00067EB0">
        <w:t>za di indicazioni nell</w:t>
      </w:r>
      <w:r w:rsidR="00D04C06" w:rsidRPr="00067EB0">
        <w:t>’</w:t>
      </w:r>
      <w:r w:rsidRPr="00067EB0">
        <w:t>art. 19 in merito alla nazionalità dei giudici (a dif</w:t>
      </w:r>
      <w:r w:rsidRPr="00067EB0">
        <w:lastRenderedPageBreak/>
        <w:t xml:space="preserve">ferenza di quanto avviene per i membri della Commissione: v. art. 17 TUE), di fatto </w:t>
      </w:r>
      <w:r w:rsidRPr="00067EB0">
        <w:rPr>
          <w:snapToGrid w:val="0"/>
        </w:rPr>
        <w:t>ogni Stato membro indica un giudice della propria nazionalità e, ad oggi, nessun Paese membro ha voluto privarsi di questa facoltà, tanto da potersi ormai parlare di una prassi consolidata al riguardo. Ciò consente la contestuale presenza, nella formazione della Corte, di tutte le tradizioni giuridiche rinvenibili nel</w:t>
      </w:r>
      <w:r w:rsidR="001D57B7">
        <w:rPr>
          <w:snapToGrid w:val="0"/>
        </w:rPr>
        <w:softHyphen/>
      </w:r>
      <w:r w:rsidRPr="00067EB0">
        <w:rPr>
          <w:snapToGrid w:val="0"/>
        </w:rPr>
        <w:t>l</w:t>
      </w:r>
      <w:r w:rsidR="00D04C06" w:rsidRPr="00067EB0">
        <w:rPr>
          <w:snapToGrid w:val="0"/>
        </w:rPr>
        <w:t>’</w:t>
      </w:r>
      <w:r w:rsidRPr="00067EB0">
        <w:rPr>
          <w:snapToGrid w:val="0"/>
        </w:rPr>
        <w:t>Unione, ma rischia, come prima anticipato, di dare alla composizione dell</w:t>
      </w:r>
      <w:r w:rsidR="00D04C06" w:rsidRPr="00067EB0">
        <w:rPr>
          <w:snapToGrid w:val="0"/>
        </w:rPr>
        <w:t>’</w:t>
      </w:r>
      <w:r w:rsidRPr="00067EB0">
        <w:rPr>
          <w:snapToGrid w:val="0"/>
        </w:rPr>
        <w:t>isti</w:t>
      </w:r>
      <w:r w:rsidR="001D57B7">
        <w:rPr>
          <w:snapToGrid w:val="0"/>
        </w:rPr>
        <w:softHyphen/>
      </w:r>
      <w:r w:rsidRPr="00067EB0">
        <w:rPr>
          <w:snapToGrid w:val="0"/>
        </w:rPr>
        <w:t>tuzione, garante dell</w:t>
      </w:r>
      <w:r w:rsidR="00D04C06" w:rsidRPr="00067EB0">
        <w:t>’</w:t>
      </w:r>
      <w:r w:rsidRPr="00067EB0">
        <w:rPr>
          <w:snapToGrid w:val="0"/>
        </w:rPr>
        <w:t>autonomia dell</w:t>
      </w:r>
      <w:r w:rsidR="00D04C06" w:rsidRPr="00067EB0">
        <w:t>’</w:t>
      </w:r>
      <w:r w:rsidRPr="00067EB0">
        <w:rPr>
          <w:snapToGrid w:val="0"/>
        </w:rPr>
        <w:t>ordinamento dell</w:t>
      </w:r>
      <w:r w:rsidR="00D04C06" w:rsidRPr="00067EB0">
        <w:rPr>
          <w:snapToGrid w:val="0"/>
        </w:rPr>
        <w:t>’</w:t>
      </w:r>
      <w:r w:rsidRPr="00067EB0">
        <w:rPr>
          <w:snapToGrid w:val="0"/>
        </w:rPr>
        <w:t>Unione anche e soprattutto nei confronti degli Stati membri, un (quanto meno apparente) carattere di rappresentanza nazionale. Non è da porre in dubbio, tuttavia, che il requisito dell</w:t>
      </w:r>
      <w:r w:rsidR="00D04C06" w:rsidRPr="00067EB0">
        <w:rPr>
          <w:snapToGrid w:val="0"/>
        </w:rPr>
        <w:t>’</w:t>
      </w:r>
      <w:r w:rsidRPr="00067EB0">
        <w:rPr>
          <w:snapToGrid w:val="0"/>
        </w:rPr>
        <w:t>indipendenza dei giudici, in particolare rispetto allo Stato di origine, è al cuore del funzionamento dell</w:t>
      </w:r>
      <w:r w:rsidR="00D04C06" w:rsidRPr="00067EB0">
        <w:rPr>
          <w:snapToGrid w:val="0"/>
        </w:rPr>
        <w:t>’</w:t>
      </w:r>
      <w:r w:rsidRPr="00067EB0">
        <w:rPr>
          <w:snapToGrid w:val="0"/>
        </w:rPr>
        <w:t xml:space="preserve">istituzione, trattandosi, secondo la classica dicotomia degli organismi internazionali, di </w:t>
      </w:r>
      <w:r w:rsidRPr="00853B2F">
        <w:rPr>
          <w:i/>
          <w:iCs/>
          <w:snapToGrid w:val="0"/>
        </w:rPr>
        <w:t>organo di individui</w:t>
      </w:r>
      <w:r w:rsidRPr="00067EB0">
        <w:rPr>
          <w:snapToGrid w:val="0"/>
        </w:rPr>
        <w:t xml:space="preserve"> e non di Stati. Ed infatti, è espressamente stabilito dall</w:t>
      </w:r>
      <w:r w:rsidR="00D04C06" w:rsidRPr="00067EB0">
        <w:t>’</w:t>
      </w:r>
      <w:r w:rsidRPr="00067EB0">
        <w:rPr>
          <w:snapToGrid w:val="0"/>
        </w:rPr>
        <w:t>art. 18, quarto comma, Statuto – proprio per garantire l</w:t>
      </w:r>
      <w:r w:rsidR="00D04C06" w:rsidRPr="00067EB0">
        <w:t>’</w:t>
      </w:r>
      <w:r w:rsidRPr="00067EB0">
        <w:rPr>
          <w:snapToGrid w:val="0"/>
        </w:rPr>
        <w:t>indipendenza e l</w:t>
      </w:r>
      <w:r w:rsidR="00D04C06" w:rsidRPr="00067EB0">
        <w:t>’</w:t>
      </w:r>
      <w:r w:rsidRPr="00067EB0">
        <w:rPr>
          <w:snapToGrid w:val="0"/>
        </w:rPr>
        <w:t>imparzialità dei giudici e dei giudizi – che la parte in un giudizio dinanzi alla Corte «non può invocare la nazionalità di un giudice, né l</w:t>
      </w:r>
      <w:r w:rsidR="00D04C06" w:rsidRPr="00067EB0">
        <w:rPr>
          <w:snapToGrid w:val="0"/>
        </w:rPr>
        <w:t>’</w:t>
      </w:r>
      <w:r w:rsidRPr="00067EB0">
        <w:rPr>
          <w:snapToGrid w:val="0"/>
        </w:rPr>
        <w:t>assenza in seno alla Corte o ad una sua sezione di un giudice della propria nazionalità, per richiedere la modificazione della composizione della Corte o di una delle sue sezioni». Si tratta di una disposizione certamente originale nel contesto delle regole che governano la composizione delle corti sopranazionali (dove vige una regola opposta</w:t>
      </w:r>
      <w:r w:rsidR="00557599" w:rsidRPr="00557599">
        <w:rPr>
          <w:rStyle w:val="Rimandonotaapidipagina"/>
          <w:snapToGrid w:val="0"/>
        </w:rPr>
        <w:t> </w:t>
      </w:r>
      <w:r w:rsidR="00557599" w:rsidRPr="00557599">
        <w:rPr>
          <w:rStyle w:val="Rimandonotaapidipagina"/>
          <w:snapToGrid w:val="0"/>
        </w:rPr>
        <w:footnoteReference w:id="60"/>
      </w:r>
      <w:r w:rsidRPr="00067EB0">
        <w:rPr>
          <w:snapToGrid w:val="0"/>
        </w:rPr>
        <w:t>, a conferma della natura peculiare della giurisdizione dell</w:t>
      </w:r>
      <w:r w:rsidR="00D04C06" w:rsidRPr="00067EB0">
        <w:rPr>
          <w:snapToGrid w:val="0"/>
        </w:rPr>
        <w:t>’</w:t>
      </w:r>
      <w:r w:rsidRPr="00067EB0">
        <w:rPr>
          <w:snapToGrid w:val="0"/>
        </w:rPr>
        <w:t>Unione.</w:t>
      </w:r>
    </w:p>
    <w:p w14:paraId="2DA4A425" w14:textId="550AC0E0" w:rsidR="00D04C06" w:rsidRPr="00067EB0" w:rsidRDefault="00CC6E33" w:rsidP="00067EB0">
      <w:pPr>
        <w:pStyle w:val="Capoverso"/>
      </w:pPr>
      <w:r w:rsidRPr="001D57B7">
        <w:rPr>
          <w:spacing w:val="1"/>
        </w:rPr>
        <w:t xml:space="preserve">Quanto alla </w:t>
      </w:r>
      <w:r w:rsidRPr="001D57B7">
        <w:rPr>
          <w:i/>
          <w:spacing w:val="1"/>
        </w:rPr>
        <w:t>procedura di selezione</w:t>
      </w:r>
      <w:r w:rsidRPr="001D57B7">
        <w:rPr>
          <w:spacing w:val="1"/>
        </w:rPr>
        <w:t>, in assenza di regole comuni, ogni Stato membro disciplina in maniera autonoma le modalità ed i criteri di scelta dei giudici e degli A.G., ed è anche libero di decidere se porre in essere o meno una procedura formale ai fini della scelta, a condizione tuttavia che queste modalità non facciano nascere, in capo agli amministrati, dubbi legittimi in merito alla rispondenza del candidato prescelto rispetto ai requisiti indicati all</w:t>
      </w:r>
      <w:r w:rsidR="00D04C06" w:rsidRPr="001D57B7">
        <w:rPr>
          <w:spacing w:val="1"/>
        </w:rPr>
        <w:t>’</w:t>
      </w:r>
      <w:r w:rsidRPr="001D57B7">
        <w:rPr>
          <w:spacing w:val="1"/>
        </w:rPr>
        <w:t xml:space="preserve">art. 19, par. 2, TUE e </w:t>
      </w:r>
      <w:r w:rsidR="00A32F64">
        <w:rPr>
          <w:spacing w:val="1"/>
        </w:rPr>
        <w:t xml:space="preserve">artt. </w:t>
      </w:r>
      <w:r w:rsidRPr="001D57B7">
        <w:rPr>
          <w:spacing w:val="1"/>
        </w:rPr>
        <w:t>253 e 254 TFUE, in particolare quelli dell</w:t>
      </w:r>
      <w:r w:rsidR="00D04C06" w:rsidRPr="001D57B7">
        <w:rPr>
          <w:spacing w:val="1"/>
        </w:rPr>
        <w:t>’</w:t>
      </w:r>
      <w:r w:rsidRPr="001D57B7">
        <w:rPr>
          <w:spacing w:val="1"/>
        </w:rPr>
        <w:t>indipendenza e della capacità del soggetto in questione</w:t>
      </w:r>
      <w:r w:rsidR="00557599" w:rsidRPr="001D57B7">
        <w:rPr>
          <w:rStyle w:val="Rimandonotaapidipagina"/>
          <w:spacing w:val="1"/>
        </w:rPr>
        <w:t> </w:t>
      </w:r>
      <w:r w:rsidR="00557599" w:rsidRPr="001D57B7">
        <w:rPr>
          <w:rStyle w:val="Rimandonotaapidipagina"/>
          <w:spacing w:val="1"/>
        </w:rPr>
        <w:footnoteReference w:id="61"/>
      </w:r>
      <w:r w:rsidRPr="001D57B7">
        <w:rPr>
          <w:spacing w:val="1"/>
        </w:rPr>
        <w:t>. Se la prassi dei primi decenni di vita delle Comunità vedeva un ruolo determinante del potere esecutivo e l</w:t>
      </w:r>
      <w:r w:rsidR="00D04C06" w:rsidRPr="001D57B7">
        <w:rPr>
          <w:spacing w:val="1"/>
        </w:rPr>
        <w:t>’</w:t>
      </w:r>
      <w:r w:rsidRPr="001D57B7">
        <w:rPr>
          <w:spacing w:val="1"/>
        </w:rPr>
        <w:t>assenza di procedure di selezione formali, in quella più recente si riscontra, in ragione del</w:t>
      </w:r>
      <w:r w:rsidR="001D57B7">
        <w:rPr>
          <w:spacing w:val="1"/>
        </w:rPr>
        <w:softHyphen/>
      </w:r>
      <w:r w:rsidRPr="001D57B7">
        <w:rPr>
          <w:spacing w:val="1"/>
        </w:rPr>
        <w:t>l</w:t>
      </w:r>
      <w:r w:rsidR="00D04C06" w:rsidRPr="001D57B7">
        <w:rPr>
          <w:spacing w:val="1"/>
        </w:rPr>
        <w:t>’</w:t>
      </w:r>
      <w:r w:rsidRPr="001D57B7">
        <w:rPr>
          <w:spacing w:val="1"/>
        </w:rPr>
        <w:t xml:space="preserve">accresciuta importanza del principio di trasparenza ma anche in conseguenza della istituzione a livello europeo della procedura consultiva di cui si tratterà più avanti, la tendenza degli Stati di porre in essere una procedura “aperta” di selezione che comporta solitamente la pubblicazione di un bando di concorso, la creazione di un comitato </w:t>
      </w:r>
      <w:r w:rsidRPr="001D57B7">
        <w:rPr>
          <w:i/>
          <w:spacing w:val="1"/>
        </w:rPr>
        <w:t>ad hoc</w:t>
      </w:r>
      <w:r w:rsidRPr="001D57B7">
        <w:rPr>
          <w:spacing w:val="1"/>
        </w:rPr>
        <w:t xml:space="preserve"> di giuristi per le valutazioni “tecniche” e infine il coinvolgimento del </w:t>
      </w:r>
      <w:r w:rsidRPr="001D57B7">
        <w:rPr>
          <w:spacing w:val="1"/>
        </w:rPr>
        <w:lastRenderedPageBreak/>
        <w:t>Governo o anche di altri poteri dello Stato per la scelta finale</w:t>
      </w:r>
      <w:r w:rsidR="00557599" w:rsidRPr="001D57B7">
        <w:rPr>
          <w:rStyle w:val="Rimandonotaapidipagina"/>
          <w:spacing w:val="1"/>
        </w:rPr>
        <w:t> </w:t>
      </w:r>
      <w:r w:rsidR="00557599" w:rsidRPr="001D57B7">
        <w:rPr>
          <w:rStyle w:val="Rimandonotaapidipagina"/>
          <w:spacing w:val="1"/>
        </w:rPr>
        <w:footnoteReference w:id="62"/>
      </w:r>
      <w:r w:rsidRPr="001D57B7">
        <w:rPr>
          <w:spacing w:val="1"/>
        </w:rPr>
        <w:t>.</w:t>
      </w:r>
      <w:r w:rsidRPr="00067EB0">
        <w:t xml:space="preserve"> Si tratta senza dubbio di un progresso in termini di trasparenza e pubblicità del processo decisionale</w:t>
      </w:r>
      <w:r w:rsidR="00A21686">
        <w:t xml:space="preserve"> nonché di verifica delle co</w:t>
      </w:r>
      <w:r w:rsidR="00EB35E4">
        <w:t>m</w:t>
      </w:r>
      <w:r w:rsidR="00A21686">
        <w:t>petenze</w:t>
      </w:r>
      <w:r w:rsidR="00EB35E4">
        <w:t>. T</w:t>
      </w:r>
      <w:r w:rsidRPr="00067EB0">
        <w:t xml:space="preserve">uttavia, in particolare qualora siano coinvolti diversi poteri dello Stato, </w:t>
      </w:r>
      <w:r w:rsidR="00EB35E4">
        <w:t xml:space="preserve">essa </w:t>
      </w:r>
      <w:r w:rsidRPr="00067EB0">
        <w:t>porta con sé i rischi di conflitti interni nonché di contenziosi dinanzi ai giudici nazionali, come di fatto è avvenuto in alcuni Stati membri con riflessi anche dinanzi alla Corte di giustizia</w:t>
      </w:r>
      <w:r w:rsidR="00557599" w:rsidRPr="00557599">
        <w:rPr>
          <w:rStyle w:val="Rimandonotaapidipagina"/>
        </w:rPr>
        <w:t> </w:t>
      </w:r>
      <w:r w:rsidR="00557599" w:rsidRPr="00557599">
        <w:rPr>
          <w:rStyle w:val="Rimandonotaapidipagina"/>
        </w:rPr>
        <w:footnoteReference w:id="63"/>
      </w:r>
      <w:r w:rsidRPr="00067EB0">
        <w:t xml:space="preserve">. Nella citata sentenza </w:t>
      </w:r>
      <w:proofErr w:type="spellStart"/>
      <w:r w:rsidRPr="00853B2F">
        <w:rPr>
          <w:i/>
          <w:iCs/>
        </w:rPr>
        <w:t>Valan</w:t>
      </w:r>
      <w:r w:rsidRPr="00651730">
        <w:rPr>
          <w:rFonts w:ascii="Cambria" w:hAnsi="Cambria" w:cs="Cambria"/>
          <w:i/>
          <w:iCs/>
        </w:rPr>
        <w:t>č</w:t>
      </w:r>
      <w:r w:rsidRPr="00EA18BA">
        <w:rPr>
          <w:i/>
          <w:iCs/>
        </w:rPr>
        <w:t>i</w:t>
      </w:r>
      <w:r w:rsidRPr="00853B2F">
        <w:rPr>
          <w:i/>
          <w:iCs/>
        </w:rPr>
        <w:t>us</w:t>
      </w:r>
      <w:proofErr w:type="spellEnd"/>
      <w:r w:rsidRPr="00067EB0">
        <w:t>, la Corte ha precisato, a tale riguardo, da un lato, che la circostanza che i rappresentanti del potere legislativo o esecutivo dello Stato membro intervengono nella procedura di scelta non è di per sé una circostanza tale da far nascere dubbi legittimi in capo agli amministrati; dall</w:t>
      </w:r>
      <w:r w:rsidR="00D04C06" w:rsidRPr="00067EB0">
        <w:t>’</w:t>
      </w:r>
      <w:r w:rsidRPr="00067EB0">
        <w:t>altro, che l</w:t>
      </w:r>
      <w:r w:rsidR="00D04C06" w:rsidRPr="00067EB0">
        <w:t>’</w:t>
      </w:r>
      <w:r w:rsidRPr="00067EB0">
        <w:t>intervento nella procedura interna di organi consultivi indipendenti (rispetto ai poteri dello Stato) ed un obbligo di motivazione contribuisce ad una maggiore obiettività del processo di scelta</w:t>
      </w:r>
      <w:r w:rsidR="00557599" w:rsidRPr="00557599">
        <w:rPr>
          <w:rStyle w:val="Rimandonotaapidipagina"/>
        </w:rPr>
        <w:t> </w:t>
      </w:r>
      <w:r w:rsidR="00557599" w:rsidRPr="00557599">
        <w:rPr>
          <w:rStyle w:val="Rimandonotaapidipagina"/>
        </w:rPr>
        <w:footnoteReference w:id="64"/>
      </w:r>
      <w:r w:rsidRPr="00067EB0">
        <w:t>.</w:t>
      </w:r>
      <w:r w:rsidR="00D04C06" w:rsidRPr="00067EB0">
        <w:t xml:space="preserve"> </w:t>
      </w:r>
    </w:p>
    <w:p w14:paraId="1568025D" w14:textId="76BE21CA" w:rsidR="00D04C06" w:rsidRPr="00067EB0" w:rsidRDefault="00CC6E33" w:rsidP="0030581D">
      <w:pPr>
        <w:pStyle w:val="Capoverso"/>
        <w:spacing w:line="250" w:lineRule="exact"/>
      </w:pPr>
      <w:r w:rsidRPr="00853B2F">
        <w:rPr>
          <w:i/>
        </w:rPr>
        <w:t>La seconda fase</w:t>
      </w:r>
      <w:r w:rsidRPr="00067EB0">
        <w:t>, quella europea, si svolge a livello istituzionale ed è disciplinata dai Trattati. Come anticipato. le regole applicabili hanno conosciuto una significativa evoluzione: se, sino alle modifiche del Trattato di Lisbona, la designazione nazionale diveniva di fatto quella definitiva, in quanto le scelte provenienti dai governi degli Stati membri venivano, per ragioni facilmente comprensibili, semplicemente “ratificate” dai governi di tutti i Paesi comunitari, oggi la situazione è più complessa ed articolata in ragione della istituzione</w:t>
      </w:r>
      <w:r w:rsidR="00A21686">
        <w:t xml:space="preserve"> da parte del Consiglio</w:t>
      </w:r>
      <w:r w:rsidR="00EA18BA" w:rsidRPr="00651730">
        <w:rPr>
          <w:vertAlign w:val="superscript"/>
        </w:rPr>
        <w:t> </w:t>
      </w:r>
      <w:r w:rsidR="00A21686">
        <w:rPr>
          <w:rStyle w:val="Rimandonotaapidipagina"/>
        </w:rPr>
        <w:footnoteReference w:id="65"/>
      </w:r>
      <w:r w:rsidRPr="00067EB0">
        <w:t>, in applicazione dell</w:t>
      </w:r>
      <w:r w:rsidR="00D04C06" w:rsidRPr="00067EB0">
        <w:t>’</w:t>
      </w:r>
      <w:r w:rsidRPr="00067EB0">
        <w:t>art. 255 TFUE inserito dal Trattato di Lisbona, di un Comitato (detto appunto “Comitato 255”) incaricato di fornire un parere sull</w:t>
      </w:r>
      <w:r w:rsidR="00D04C06" w:rsidRPr="00067EB0">
        <w:t>’</w:t>
      </w:r>
      <w:r w:rsidRPr="00067EB0">
        <w:t>adeguatezza dei candidati all</w:t>
      </w:r>
      <w:r w:rsidR="00D04C06" w:rsidRPr="00067EB0">
        <w:t>’</w:t>
      </w:r>
      <w:r w:rsidRPr="00067EB0">
        <w:t>esercizio delle fun</w:t>
      </w:r>
      <w:r w:rsidRPr="00067EB0">
        <w:lastRenderedPageBreak/>
        <w:t xml:space="preserve">zioni di giudice e di A.G.. Detto Comitato è composto da sette personalità scelte dal Consiglio, su proposta del Presidente della Corte di giustizia, tra </w:t>
      </w:r>
      <w:r w:rsidRPr="00853B2F">
        <w:rPr>
          <w:i/>
          <w:iCs/>
        </w:rPr>
        <w:t>ex</w:t>
      </w:r>
      <w:r w:rsidRPr="00067EB0">
        <w:t xml:space="preserve"> membri della Corte di giustizia e del Tribunale, da membri dei massimi organi giurisdizionali nazionali o da giuristi di notoria competenza, uno dei quali proposto dal Parlamento europeo</w:t>
      </w:r>
      <w:r w:rsidR="00557599" w:rsidRPr="00557599">
        <w:rPr>
          <w:rStyle w:val="Rimandonotaapidipagina"/>
        </w:rPr>
        <w:t> </w:t>
      </w:r>
      <w:r w:rsidR="00557599" w:rsidRPr="00557599">
        <w:rPr>
          <w:rStyle w:val="Rimandonotaapidipagina"/>
        </w:rPr>
        <w:footnoteReference w:id="66"/>
      </w:r>
      <w:r w:rsidRPr="00067EB0">
        <w:t>. Il Comitato si pronuncia prima dell</w:t>
      </w:r>
      <w:r w:rsidR="00D04C06" w:rsidRPr="00067EB0">
        <w:t>’</w:t>
      </w:r>
      <w:r w:rsidRPr="00067EB0">
        <w:t>intervento finale dei governi degli Stati membri, a seguito di una</w:t>
      </w:r>
      <w:r w:rsidR="00EB35E4">
        <w:t xml:space="preserve"> valutazione del curriculum nonché di una</w:t>
      </w:r>
      <w:r w:rsidRPr="00067EB0">
        <w:t xml:space="preserve"> audizione del candidato svolta a porte chiuse. Il parere del Comitato, che </w:t>
      </w:r>
      <w:r w:rsidR="00EB35E4">
        <w:t xml:space="preserve">è destinato allo Stato membro e </w:t>
      </w:r>
      <w:r w:rsidRPr="00067EB0">
        <w:t>non è reso pubblico, non è formalmente vincolante, ma nella prassi ha assunto un ruolo determinante, in quanto una valutazione negativa</w:t>
      </w:r>
      <w:r w:rsidR="00557599" w:rsidRPr="00557599">
        <w:rPr>
          <w:rStyle w:val="Rimandonotaapidipagina"/>
        </w:rPr>
        <w:t> </w:t>
      </w:r>
      <w:r w:rsidR="00557599" w:rsidRPr="00557599">
        <w:rPr>
          <w:rStyle w:val="Rimandonotaapidipagina"/>
        </w:rPr>
        <w:footnoteReference w:id="67"/>
      </w:r>
      <w:r w:rsidRPr="00067EB0">
        <w:t xml:space="preserve"> ha sinora sempre consigliato allo Stato membro proponente di “ritirare”, in maniera più o meno convinta ed a volte con iniziali resistenze, la candidatura ritenuta “inadeguata” dal Comitato, per sostituirla con un</w:t>
      </w:r>
      <w:r w:rsidR="00D04C06" w:rsidRPr="00067EB0">
        <w:t>’</w:t>
      </w:r>
      <w:r w:rsidRPr="00067EB0">
        <w:t>altra.</w:t>
      </w:r>
    </w:p>
    <w:p w14:paraId="6B5F2DDA" w14:textId="5A60C822" w:rsidR="00D04C06" w:rsidRPr="00067EB0" w:rsidRDefault="00CC6E33" w:rsidP="0030581D">
      <w:pPr>
        <w:pStyle w:val="Capoverso"/>
        <w:spacing w:line="250" w:lineRule="exact"/>
      </w:pPr>
      <w:r w:rsidRPr="00067EB0">
        <w:t>La fase europea si compone dunque di due sottofasi: il parere del Comitato 255 e, sulla base del parere adottato da quest</w:t>
      </w:r>
      <w:r w:rsidR="00D04C06" w:rsidRPr="00067EB0">
        <w:t>’</w:t>
      </w:r>
      <w:r w:rsidRPr="00067EB0">
        <w:t>ultimo, la designazione finale da parte dei rappresentanti dei governi degli Stati membri; quest</w:t>
      </w:r>
      <w:r w:rsidR="00D04C06" w:rsidRPr="00067EB0">
        <w:t>’</w:t>
      </w:r>
      <w:r w:rsidRPr="00067EB0">
        <w:t>ultimo atto, pur previsto dai Trattati, non appartiene formalmente al novero degli atti del diritto dell</w:t>
      </w:r>
      <w:r w:rsidR="00D04C06" w:rsidRPr="00067EB0">
        <w:t>’</w:t>
      </w:r>
      <w:r w:rsidRPr="00067EB0">
        <w:t>Unione e quindi non può essere sottoposto ad un giudizio dinanzi alle Corti europee</w:t>
      </w:r>
      <w:r w:rsidR="00557599" w:rsidRPr="00557599">
        <w:rPr>
          <w:rStyle w:val="Rimandonotaapidipagina"/>
        </w:rPr>
        <w:t> </w:t>
      </w:r>
      <w:r w:rsidR="00557599" w:rsidRPr="00557599">
        <w:rPr>
          <w:rStyle w:val="Rimandonotaapidipagina"/>
        </w:rPr>
        <w:footnoteReference w:id="68"/>
      </w:r>
      <w:r w:rsidRPr="00067EB0">
        <w:t>.</w:t>
      </w:r>
      <w:r w:rsidR="00D04C06" w:rsidRPr="00067EB0">
        <w:t xml:space="preserve"> </w:t>
      </w:r>
    </w:p>
    <w:p w14:paraId="3D14EA34" w14:textId="4EF67737" w:rsidR="00D04C06" w:rsidRPr="00067EB0" w:rsidRDefault="00CC6E33" w:rsidP="00067EB0">
      <w:pPr>
        <w:pStyle w:val="Capoverso"/>
      </w:pPr>
      <w:r w:rsidRPr="00067EB0">
        <w:t>Quanto ai requisiti soggettivi necessari per la nomina, essi sono previsti dal diritto primario dell</w:t>
      </w:r>
      <w:r w:rsidR="00D04C06" w:rsidRPr="00067EB0">
        <w:t>’</w:t>
      </w:r>
      <w:r w:rsidRPr="00067EB0">
        <w:t>Unione ed attengono (</w:t>
      </w:r>
      <w:r w:rsidRPr="00853B2F">
        <w:rPr>
          <w:i/>
        </w:rPr>
        <w:t>a</w:t>
      </w:r>
      <w:r w:rsidRPr="00067EB0">
        <w:t>) all</w:t>
      </w:r>
      <w:r w:rsidR="00D04C06" w:rsidRPr="00067EB0">
        <w:t>’</w:t>
      </w:r>
      <w:r w:rsidRPr="00067EB0">
        <w:t>indipendenza dei candidati, dovendo essi infatti essere scelti tra giuristi che offrono, appunto, tutte le garanzie di indipendenza,</w:t>
      </w:r>
      <w:r w:rsidR="00704DFF" w:rsidRPr="00860493">
        <w:t xml:space="preserve"> </w:t>
      </w:r>
      <w:r w:rsidRPr="00067EB0">
        <w:t>e (</w:t>
      </w:r>
      <w:r w:rsidRPr="00853B2F">
        <w:rPr>
          <w:i/>
        </w:rPr>
        <w:t>b</w:t>
      </w:r>
      <w:r w:rsidRPr="00067EB0">
        <w:t>) alle qualifiche sostanziali degli stessi, dovendo riunire le condizioni richieste per l</w:t>
      </w:r>
      <w:r w:rsidR="00D04C06" w:rsidRPr="00067EB0">
        <w:t>’</w:t>
      </w:r>
      <w:r w:rsidRPr="00067EB0">
        <w:t>esercizio, nei rispettivi paesi, delle più alte funzioni giurisdizionali, ovvero essere giureconsulti di notoria competenza (cfr. artt. 19 TUE e 253 TFUE). Prestato giuramento dinanzi alla Corte di giustizia in formazione plenaria</w:t>
      </w:r>
      <w:r w:rsidR="00557599" w:rsidRPr="00557599">
        <w:rPr>
          <w:rStyle w:val="Rimandonotaapidipagina"/>
        </w:rPr>
        <w:t> </w:t>
      </w:r>
      <w:r w:rsidR="00557599" w:rsidRPr="00557599">
        <w:rPr>
          <w:rStyle w:val="Rimandonotaapidipagina"/>
        </w:rPr>
        <w:footnoteReference w:id="69"/>
      </w:r>
      <w:r w:rsidRPr="00067EB0">
        <w:t>, nel corso del loro mandato i giudici e gli A.G. godono delle guarentigie (ad es. l</w:t>
      </w:r>
      <w:r w:rsidR="00D04C06" w:rsidRPr="00067EB0">
        <w:t>’</w:t>
      </w:r>
      <w:r w:rsidRPr="00067EB0">
        <w:t>immunità dalla giurisdizione) e so</w:t>
      </w:r>
      <w:r w:rsidRPr="00067EB0">
        <w:lastRenderedPageBreak/>
        <w:t>no sottoposti ai doveri (ad esempio, il divieto di svolgere attività politica ed amministrativa</w:t>
      </w:r>
      <w:r w:rsidR="00557599" w:rsidRPr="00557599">
        <w:rPr>
          <w:vertAlign w:val="superscript"/>
        </w:rPr>
        <w:t> </w:t>
      </w:r>
      <w:r w:rsidR="00557599" w:rsidRPr="00557599">
        <w:rPr>
          <w:vertAlign w:val="superscript"/>
        </w:rPr>
        <w:footnoteReference w:id="70"/>
      </w:r>
      <w:r w:rsidR="00DC56E2" w:rsidRPr="00DC56E2">
        <w:t>)</w:t>
      </w:r>
      <w:r w:rsidRPr="00067EB0">
        <w:t xml:space="preserve"> risultanti dal testo del Titolo I dello Statuto della CGUE, rubricato “Statuto dei giudici e degli avvocati generali”.</w:t>
      </w:r>
    </w:p>
    <w:p w14:paraId="64E67ECC" w14:textId="7E0B1A09" w:rsidR="00CC6E33" w:rsidRPr="00067EB0" w:rsidRDefault="00CC6E33" w:rsidP="00067EB0">
      <w:pPr>
        <w:pStyle w:val="Capoverso"/>
      </w:pPr>
      <w:r w:rsidRPr="00067EB0">
        <w:t>I giudici nominano il presidente ed il vicepresidente della Corte</w:t>
      </w:r>
      <w:r w:rsidR="00557599" w:rsidRPr="00557599">
        <w:rPr>
          <w:rStyle w:val="Rimandonotaapidipagina"/>
        </w:rPr>
        <w:t> </w:t>
      </w:r>
      <w:r w:rsidR="00557599" w:rsidRPr="00557599">
        <w:rPr>
          <w:rStyle w:val="Rimandonotaapidipagina"/>
        </w:rPr>
        <w:footnoteReference w:id="71"/>
      </w:r>
      <w:r w:rsidRPr="00067EB0">
        <w:t>. Il Presidente ed il vicepresidente durano in carica per tre anni e possono essere rinnovati nella carica.</w:t>
      </w:r>
    </w:p>
    <w:p w14:paraId="799B5157" w14:textId="4770323A" w:rsidR="00CC6E33" w:rsidRPr="00067EB0" w:rsidRDefault="00CC6E33" w:rsidP="00067EB0">
      <w:pPr>
        <w:pStyle w:val="Capoverso"/>
        <w:rPr>
          <w:snapToGrid w:val="0"/>
        </w:rPr>
      </w:pPr>
      <w:r w:rsidRPr="00067EB0">
        <w:t xml:space="preserve">In relazione, poi, alle regole sul </w:t>
      </w:r>
      <w:r w:rsidRPr="00853B2F">
        <w:rPr>
          <w:i/>
        </w:rPr>
        <w:t xml:space="preserve">funzionamento </w:t>
      </w:r>
      <w:r w:rsidRPr="00067EB0">
        <w:t>della Corte, esse si rinvengono in parte nel testo del TFUE e in parte in quello dello Statuto. L</w:t>
      </w:r>
      <w:r w:rsidR="00D04C06" w:rsidRPr="00067EB0">
        <w:t>’</w:t>
      </w:r>
      <w:r w:rsidRPr="00067EB0">
        <w:t xml:space="preserve">art. 221 TFUE prevede che la Corte di giustizia si riunisce in </w:t>
      </w:r>
      <w:r w:rsidR="00307640">
        <w:t>S</w:t>
      </w:r>
      <w:r w:rsidRPr="00067EB0">
        <w:t xml:space="preserve">ezioni, in </w:t>
      </w:r>
      <w:r w:rsidR="00307640">
        <w:t>G</w:t>
      </w:r>
      <w:r w:rsidRPr="00067EB0">
        <w:t xml:space="preserve">rande </w:t>
      </w:r>
      <w:r w:rsidR="00307640">
        <w:t>S</w:t>
      </w:r>
      <w:r w:rsidRPr="00067EB0">
        <w:t xml:space="preserve">ezione e, eccezionalmente, in </w:t>
      </w:r>
      <w:r w:rsidR="00307640">
        <w:t>S</w:t>
      </w:r>
      <w:r w:rsidRPr="00067EB0">
        <w:t xml:space="preserve">eduta </w:t>
      </w:r>
      <w:r w:rsidR="00307640">
        <w:t>P</w:t>
      </w:r>
      <w:r w:rsidRPr="00067EB0">
        <w:t>lenaria, rinviando allo Statuto per la disciplina di dettaglio. L</w:t>
      </w:r>
      <w:r w:rsidR="00D04C06" w:rsidRPr="00067EB0">
        <w:t>’</w:t>
      </w:r>
      <w:r w:rsidRPr="00067EB0">
        <w:t xml:space="preserve">art. 16 Statuto precisa quindi che nella Corte sono istituite diverse sezioni composte da tre o cinque giudici, ed al loro interno i giudici scelgono un presidente che resta in carica per tre anni. A queste si aggiunge la </w:t>
      </w:r>
      <w:r w:rsidR="00307640">
        <w:rPr>
          <w:i/>
        </w:rPr>
        <w:t>G</w:t>
      </w:r>
      <w:r w:rsidRPr="00853B2F">
        <w:rPr>
          <w:i/>
        </w:rPr>
        <w:t xml:space="preserve">rande </w:t>
      </w:r>
      <w:r w:rsidR="00307640">
        <w:rPr>
          <w:i/>
        </w:rPr>
        <w:t>S</w:t>
      </w:r>
      <w:r w:rsidRPr="00853B2F">
        <w:rPr>
          <w:i/>
        </w:rPr>
        <w:t>ezione</w:t>
      </w:r>
      <w:r w:rsidRPr="00067EB0">
        <w:t>, composta da quindici giudici, tra i quali sono sempre presenti il presidente, che la presiede, ed il vicepresidente. Ad essa si ricorre, su proposta del giudice relatore e decisione della Riunione generale della Corte, per le cause di maggiore importanza nonché, obbligatoriamente, qualora lo richieda uno Stato membro o un</w:t>
      </w:r>
      <w:r w:rsidR="00D04C06" w:rsidRPr="00067EB0">
        <w:t>’</w:t>
      </w:r>
      <w:r w:rsidRPr="00067EB0">
        <w:t>istituzione dell</w:t>
      </w:r>
      <w:r w:rsidR="00D04C06" w:rsidRPr="00067EB0">
        <w:t>’</w:t>
      </w:r>
      <w:r w:rsidRPr="00067EB0">
        <w:t>Unione parte in causa. L</w:t>
      </w:r>
      <w:r w:rsidR="00D04C06" w:rsidRPr="00067EB0">
        <w:t>’</w:t>
      </w:r>
      <w:r w:rsidRPr="00067EB0">
        <w:t xml:space="preserve">art. 16 contempla infine la composizione eccezionale della </w:t>
      </w:r>
      <w:r w:rsidRPr="00853B2F">
        <w:rPr>
          <w:i/>
        </w:rPr>
        <w:t>seduta plenaria</w:t>
      </w:r>
      <w:r w:rsidRPr="00067EB0">
        <w:t>, alla quale la Corte ricorre in maniera obbligatoria in</w:t>
      </w:r>
      <w:r w:rsidRPr="00067EB0">
        <w:rPr>
          <w:snapToGrid w:val="0"/>
        </w:rPr>
        <w:t xml:space="preserve"> ipotesi espressamente codificate, concernenti, oltre al caso della revoca dell</w:t>
      </w:r>
      <w:r w:rsidR="00D04C06" w:rsidRPr="00067EB0">
        <w:rPr>
          <w:snapToGrid w:val="0"/>
        </w:rPr>
        <w:t>’</w:t>
      </w:r>
      <w:r w:rsidRPr="00067EB0">
        <w:rPr>
          <w:snapToGrid w:val="0"/>
        </w:rPr>
        <w:t>immunità di uno dei suoi componenti (Statuto, art. 3, secondo comma), il controllo dell</w:t>
      </w:r>
      <w:r w:rsidR="00D04C06" w:rsidRPr="00067EB0">
        <w:rPr>
          <w:snapToGrid w:val="0"/>
        </w:rPr>
        <w:t>’</w:t>
      </w:r>
      <w:r w:rsidRPr="00067EB0">
        <w:rPr>
          <w:snapToGrid w:val="0"/>
        </w:rPr>
        <w:t>operato del Mediatore, dei membri della Commissione e della Corte dei conti</w:t>
      </w:r>
      <w:r w:rsidR="00EA18BA" w:rsidRPr="00651730">
        <w:rPr>
          <w:snapToGrid w:val="0"/>
          <w:vertAlign w:val="superscript"/>
        </w:rPr>
        <w:t> </w:t>
      </w:r>
      <w:r w:rsidR="00413965">
        <w:rPr>
          <w:rStyle w:val="Rimandonotaapidipagina"/>
          <w:snapToGrid w:val="0"/>
        </w:rPr>
        <w:footnoteReference w:id="72"/>
      </w:r>
      <w:r w:rsidRPr="00067EB0">
        <w:rPr>
          <w:snapToGrid w:val="0"/>
        </w:rPr>
        <w:t xml:space="preserve"> (artt. 228, par. 2; 245, par. 2</w:t>
      </w:r>
      <w:r w:rsidR="000E3D39">
        <w:rPr>
          <w:snapToGrid w:val="0"/>
        </w:rPr>
        <w:t xml:space="preserve">; </w:t>
      </w:r>
      <w:r w:rsidRPr="00067EB0">
        <w:rPr>
          <w:snapToGrid w:val="0"/>
        </w:rPr>
        <w:t xml:space="preserve">247; 286, par. 6, TFUE). La Corte, inoltre, può decidere, sentito </w:t>
      </w:r>
      <w:r w:rsidR="00D04C06" w:rsidRPr="00067EB0">
        <w:rPr>
          <w:snapToGrid w:val="0"/>
        </w:rPr>
        <w:t>l’</w:t>
      </w:r>
      <w:r w:rsidRPr="00067EB0">
        <w:t>A.G.</w:t>
      </w:r>
      <w:r w:rsidRPr="00067EB0">
        <w:rPr>
          <w:snapToGrid w:val="0"/>
        </w:rPr>
        <w:t>, di rinviare la causa alla seduta plenaria nelle ipotesi in cui reputi che un giudizio pendente dinanzi ad essa rivesta un</w:t>
      </w:r>
      <w:r w:rsidR="00D04C06" w:rsidRPr="00067EB0">
        <w:rPr>
          <w:snapToGrid w:val="0"/>
        </w:rPr>
        <w:t>’</w:t>
      </w:r>
      <w:r w:rsidRPr="00067EB0">
        <w:rPr>
          <w:snapToGrid w:val="0"/>
        </w:rPr>
        <w:t>importanza eccezionale (cfr. art. 16, quinto comma, Statuto)</w:t>
      </w:r>
      <w:r w:rsidR="00EA18BA" w:rsidRPr="00651730">
        <w:rPr>
          <w:snapToGrid w:val="0"/>
          <w:vertAlign w:val="superscript"/>
        </w:rPr>
        <w:t> </w:t>
      </w:r>
      <w:r w:rsidR="00413965">
        <w:rPr>
          <w:rStyle w:val="Rimandonotaapidipagina"/>
          <w:snapToGrid w:val="0"/>
        </w:rPr>
        <w:footnoteReference w:id="73"/>
      </w:r>
      <w:r w:rsidRPr="00067EB0">
        <w:rPr>
          <w:snapToGrid w:val="0"/>
        </w:rPr>
        <w:t>.</w:t>
      </w:r>
    </w:p>
    <w:p w14:paraId="568C7E3A" w14:textId="53D0C7A6" w:rsidR="00CC6E33" w:rsidRPr="00067EB0" w:rsidRDefault="00CC6E33" w:rsidP="00067EB0">
      <w:pPr>
        <w:pStyle w:val="Capoverso"/>
      </w:pPr>
      <w:r w:rsidRPr="00067EB0">
        <w:t xml:space="preserve">Quanto alle </w:t>
      </w:r>
      <w:r w:rsidRPr="00853B2F">
        <w:rPr>
          <w:i/>
        </w:rPr>
        <w:t xml:space="preserve">competenze </w:t>
      </w:r>
      <w:r w:rsidRPr="00067EB0">
        <w:t xml:space="preserve">della Corte, esse saranno in dettaglio esaminate nei capitoli successivi di questo volume. Condivise con il Tribunale secondo le regole di ripartizione “interna” della CGUE prima ricordate, dette competenze si presentano di </w:t>
      </w:r>
      <w:r w:rsidRPr="00853B2F">
        <w:rPr>
          <w:i/>
        </w:rPr>
        <w:t>natura composita</w:t>
      </w:r>
      <w:r w:rsidRPr="00067EB0">
        <w:t xml:space="preserve">, tali da avvicinare la sua attività, a </w:t>
      </w:r>
      <w:r w:rsidRPr="00067EB0">
        <w:lastRenderedPageBreak/>
        <w:t xml:space="preserve">seconda dei casi, a quella di un tribunale internazionale (controversie tra Stati membri </w:t>
      </w:r>
      <w:r w:rsidRPr="00853B2F">
        <w:rPr>
          <w:i/>
        </w:rPr>
        <w:t>ex</w:t>
      </w:r>
      <w:r w:rsidRPr="00067EB0">
        <w:t xml:space="preserve"> art. 259 TFUE), di un tribunale costituzionale (controversie tra istituzioni e tra queste e gli Stati membri </w:t>
      </w:r>
      <w:r w:rsidRPr="00853B2F">
        <w:rPr>
          <w:i/>
        </w:rPr>
        <w:t>ex</w:t>
      </w:r>
      <w:r w:rsidRPr="00067EB0">
        <w:t xml:space="preserve"> artt. 263 e 265 TFUE), di un tribunale amministrativo di ultimo grado nei ricorsi contro le sentenze del Tribunale (controversie in tema di legittimità degli atti o della inattività delle istituzioni in base ai medesimi articoli), di un giudice del lavoro di ultimo grado sempre su ricorso contro le decisioni del Tribunale (controversie tra i funzionari comunitari e le istituzioni </w:t>
      </w:r>
      <w:r w:rsidRPr="00853B2F">
        <w:rPr>
          <w:i/>
        </w:rPr>
        <w:t>ex</w:t>
      </w:r>
      <w:r w:rsidRPr="00067EB0">
        <w:t xml:space="preserve"> art. 270 TFUE), o ancora di un tribunale arbitrale (competenza in virtù di clausole compromissorie inserite nei contratti conclusi dalla Comunità </w:t>
      </w:r>
      <w:r w:rsidRPr="00853B2F">
        <w:rPr>
          <w:i/>
        </w:rPr>
        <w:t>ex</w:t>
      </w:r>
      <w:r w:rsidRPr="00067EB0">
        <w:t xml:space="preserve"> art. 272 TFUE ovvero in caso di controversie tra Stati membri connesse all</w:t>
      </w:r>
      <w:r w:rsidR="00D04C06" w:rsidRPr="00067EB0">
        <w:t>’</w:t>
      </w:r>
      <w:r w:rsidRPr="00067EB0">
        <w:t xml:space="preserve">oggetto del trattato </w:t>
      </w:r>
      <w:r w:rsidRPr="00853B2F">
        <w:rPr>
          <w:i/>
        </w:rPr>
        <w:t>ex</w:t>
      </w:r>
      <w:r w:rsidRPr="00067EB0">
        <w:t xml:space="preserve"> art. 273 TFUE). Si può pertanto parlare di </w:t>
      </w:r>
      <w:r w:rsidRPr="00853B2F">
        <w:rPr>
          <w:i/>
        </w:rPr>
        <w:t>organo giurisdizionale polivalente</w:t>
      </w:r>
      <w:r w:rsidRPr="00067EB0">
        <w:t xml:space="preserve">, in relazione al quale appare utile distinguere, ai fini sistematici, le ipotesi in cui la Corte interviene in via </w:t>
      </w:r>
      <w:r w:rsidRPr="00853B2F">
        <w:rPr>
          <w:i/>
        </w:rPr>
        <w:t>contenziosa</w:t>
      </w:r>
      <w:r w:rsidRPr="00067EB0">
        <w:t xml:space="preserve">, per definire vere controversie (i “ricorsi diretti” di cui agli artt. 258, 263, 265, 268, 270, 271, 272, 273), e le ipotesi in cui svolge una funzione (sempre giurisdizionale ma) </w:t>
      </w:r>
      <w:r w:rsidRPr="00853B2F">
        <w:rPr>
          <w:i/>
        </w:rPr>
        <w:t>non contenziosa</w:t>
      </w:r>
      <w:r w:rsidRPr="00067EB0">
        <w:t>, adottando sentenze pregiudiziali (</w:t>
      </w:r>
      <w:r w:rsidRPr="00853B2F">
        <w:rPr>
          <w:i/>
        </w:rPr>
        <w:t>ex</w:t>
      </w:r>
      <w:r w:rsidRPr="00067EB0">
        <w:t xml:space="preserve"> art. 267 TFUE) che “indirizzano” l</w:t>
      </w:r>
      <w:r w:rsidR="00D04C06" w:rsidRPr="00067EB0">
        <w:t>’</w:t>
      </w:r>
      <w:r w:rsidRPr="00067EB0">
        <w:t>attività dei giudici nazionali in tema di interpretazione dei trattati o degli atti dell</w:t>
      </w:r>
      <w:r w:rsidR="00D04C06" w:rsidRPr="00067EB0">
        <w:t>’</w:t>
      </w:r>
      <w:r w:rsidRPr="00067EB0">
        <w:t>Unio</w:t>
      </w:r>
      <w:r w:rsidR="001D57B7">
        <w:softHyphen/>
      </w:r>
      <w:r w:rsidRPr="00067EB0">
        <w:t>ne o della validità degli atti delle istituzioni. A tal</w:t>
      </w:r>
      <w:r w:rsidR="00413965">
        <w:t xml:space="preserve">e ultima </w:t>
      </w:r>
      <w:r w:rsidRPr="00067EB0">
        <w:t>funzion</w:t>
      </w:r>
      <w:r w:rsidR="00413965">
        <w:t>e</w:t>
      </w:r>
      <w:r w:rsidRPr="00067EB0">
        <w:t xml:space="preserve"> deve aggiungersi quella che la Corte è chiamata a svolgere ai sensi dell</w:t>
      </w:r>
      <w:r w:rsidR="00D04C06" w:rsidRPr="00067EB0">
        <w:t>’</w:t>
      </w:r>
      <w:r w:rsidRPr="00067EB0">
        <w:t>art. 218, par. 6, TFUE e che costituisce una vera e propria attività consultiva in merito alla compatibilità con il trattato di un accordo che l</w:t>
      </w:r>
      <w:r w:rsidR="00D04C06" w:rsidRPr="00067EB0">
        <w:t>’</w:t>
      </w:r>
      <w:r w:rsidRPr="00067EB0">
        <w:t>Unione potrebbe concludere con soggetti terzi (Stati od organizzazioni internazionali) e, come tale, finalizzata ad indirizzare le istituzioni coinvolte nella stipulazione verso la corretta applicazione del diritto dell</w:t>
      </w:r>
      <w:r w:rsidR="00D04C06" w:rsidRPr="00067EB0">
        <w:t>’</w:t>
      </w:r>
      <w:r w:rsidRPr="00067EB0">
        <w:t>Unione.</w:t>
      </w:r>
    </w:p>
    <w:p w14:paraId="7B3D077C" w14:textId="34FD6D59" w:rsidR="00D04C06" w:rsidRPr="00067EB0" w:rsidRDefault="00CC6E33" w:rsidP="00067EB0">
      <w:pPr>
        <w:pStyle w:val="Capoverso"/>
      </w:pPr>
      <w:r w:rsidRPr="00067EB0">
        <w:t>Se l</w:t>
      </w:r>
      <w:r w:rsidR="00D04C06" w:rsidRPr="00067EB0">
        <w:t>’</w:t>
      </w:r>
      <w:r w:rsidRPr="00067EB0">
        <w:t>attività non contenziosa è oggi condivisa con il Tribunale, grazie alla recente devoluzione a quest</w:t>
      </w:r>
      <w:r w:rsidR="00D04C06" w:rsidRPr="00067EB0">
        <w:t>’</w:t>
      </w:r>
      <w:r w:rsidRPr="00067EB0">
        <w:t xml:space="preserve">ultimo di parte della competenza pregiudiziale di cui abbiamo discusso in precedenza, con riguardo alle attività contenziose (“ricorsi diretti”) occorre invece evidenziare che  in linea di principio </w:t>
      </w:r>
      <w:r w:rsidRPr="00EA18BA">
        <w:rPr>
          <w:i/>
        </w:rPr>
        <w:t>tutti</w:t>
      </w:r>
      <w:r w:rsidRPr="00067EB0">
        <w:t xml:space="preserve"> i ricorsi diretti rientrano nella competenza generale in primo grado del Tribunale</w:t>
      </w:r>
      <w:r w:rsidR="00557599" w:rsidRPr="00557599">
        <w:rPr>
          <w:rStyle w:val="Rimandonotaapidipagina"/>
        </w:rPr>
        <w:t> </w:t>
      </w:r>
      <w:r w:rsidR="00557599" w:rsidRPr="00557599">
        <w:rPr>
          <w:rStyle w:val="Rimandonotaapidipagina"/>
        </w:rPr>
        <w:footnoteReference w:id="74"/>
      </w:r>
      <w:r w:rsidRPr="00067EB0">
        <w:t>: senz</w:t>
      </w:r>
      <w:r w:rsidR="00D04C06" w:rsidRPr="00067EB0">
        <w:t>’</w:t>
      </w:r>
      <w:r w:rsidRPr="00067EB0">
        <w:t>altro quelli proposti dalle persone fisiche o giuridiche, senza eccezioni, ma anche quelli proposti da Stati membri o istituzioni.</w:t>
      </w:r>
    </w:p>
    <w:p w14:paraId="30868034" w14:textId="5F45EA13" w:rsidR="00D04C06" w:rsidRPr="00067EB0" w:rsidRDefault="00CC6E33" w:rsidP="00067EB0">
      <w:pPr>
        <w:pStyle w:val="Capoverso"/>
      </w:pPr>
      <w:r w:rsidRPr="00067EB0">
        <w:t>Rispetto a quest</w:t>
      </w:r>
      <w:r w:rsidR="00D04C06" w:rsidRPr="00067EB0">
        <w:t>’</w:t>
      </w:r>
      <w:r w:rsidRPr="00067EB0">
        <w:t>ultimi, tuttavia, lo Statuto elenca all</w:t>
      </w:r>
      <w:r w:rsidR="00D04C06" w:rsidRPr="00067EB0">
        <w:t>’</w:t>
      </w:r>
      <w:r w:rsidRPr="00067EB0">
        <w:t xml:space="preserve">art. 51 delle eccezioni, </w:t>
      </w:r>
      <w:r w:rsidRPr="0030581D">
        <w:rPr>
          <w:spacing w:val="-2"/>
        </w:rPr>
        <w:t xml:space="preserve">vale a dire di contenziosi riservati alla cognizione esclusiva ed in unico grado della Corte di giustizia: si tratta, </w:t>
      </w:r>
      <w:r w:rsidRPr="0030581D">
        <w:rPr>
          <w:i/>
          <w:spacing w:val="-2"/>
        </w:rPr>
        <w:t>in primo luogo</w:t>
      </w:r>
      <w:r w:rsidRPr="0030581D">
        <w:rPr>
          <w:spacing w:val="-2"/>
        </w:rPr>
        <w:t xml:space="preserve">, di ricorsi </w:t>
      </w:r>
      <w:r w:rsidRPr="0030581D">
        <w:rPr>
          <w:i/>
          <w:iCs/>
          <w:spacing w:val="-2"/>
        </w:rPr>
        <w:t>ex</w:t>
      </w:r>
      <w:r w:rsidRPr="0030581D">
        <w:rPr>
          <w:spacing w:val="-2"/>
        </w:rPr>
        <w:t xml:space="preserve"> artt. 263 e 265 TFUE proposti </w:t>
      </w:r>
      <w:r w:rsidRPr="0030581D">
        <w:rPr>
          <w:i/>
          <w:spacing w:val="-2"/>
        </w:rPr>
        <w:t>da uno Stato membro</w:t>
      </w:r>
      <w:r w:rsidRPr="0030581D">
        <w:rPr>
          <w:spacing w:val="-2"/>
        </w:rPr>
        <w:t xml:space="preserve"> per l</w:t>
      </w:r>
      <w:r w:rsidR="00D04C06" w:rsidRPr="0030581D">
        <w:rPr>
          <w:spacing w:val="-2"/>
        </w:rPr>
        <w:t>’</w:t>
      </w:r>
      <w:r w:rsidRPr="0030581D">
        <w:rPr>
          <w:spacing w:val="-2"/>
        </w:rPr>
        <w:t>annullamento di atti legislativi (quindi adottati congiuntamente da Parlamento europeo e Consiglio), ovvero di atti adottati dal Parlamento, dal Consiglio o dal Consiglio europeo, nonché del</w:t>
      </w:r>
      <w:r w:rsidR="001D57B7" w:rsidRPr="0030581D">
        <w:rPr>
          <w:spacing w:val="-2"/>
        </w:rPr>
        <w:softHyphen/>
      </w:r>
      <w:r w:rsidRPr="0030581D">
        <w:rPr>
          <w:spacing w:val="-2"/>
        </w:rPr>
        <w:t>l</w:t>
      </w:r>
      <w:r w:rsidR="00D04C06" w:rsidRPr="0030581D">
        <w:rPr>
          <w:spacing w:val="-2"/>
        </w:rPr>
        <w:t>’</w:t>
      </w:r>
      <w:r w:rsidRPr="0030581D">
        <w:rPr>
          <w:spacing w:val="-2"/>
        </w:rPr>
        <w:t>a</w:t>
      </w:r>
      <w:r w:rsidR="0030581D" w:rsidRPr="0030581D">
        <w:rPr>
          <w:spacing w:val="-2"/>
        </w:rPr>
        <w:softHyphen/>
      </w:r>
      <w:r w:rsidRPr="0030581D">
        <w:rPr>
          <w:spacing w:val="-2"/>
        </w:rPr>
        <w:t xml:space="preserve">stensione di dette istituzioni dal pronunciarsi. Anche questa riserva di competenza della Corte di giustizia, che in definitiva serve a mantenere in capo </w:t>
      </w:r>
      <w:r w:rsidRPr="0030581D">
        <w:rPr>
          <w:spacing w:val="-2"/>
        </w:rPr>
        <w:lastRenderedPageBreak/>
        <w:t xml:space="preserve">ad essa il ruolo di giudice del contenzioso tipicamente “costituzionale” conosce tuttavia </w:t>
      </w:r>
      <w:r w:rsidR="00413965" w:rsidRPr="0030581D">
        <w:rPr>
          <w:spacing w:val="-2"/>
        </w:rPr>
        <w:t xml:space="preserve">a sua volta </w:t>
      </w:r>
      <w:r w:rsidRPr="0030581D">
        <w:rPr>
          <w:spacing w:val="-2"/>
        </w:rPr>
        <w:t>delle eccezioni, elencate anch</w:t>
      </w:r>
      <w:r w:rsidR="00D04C06" w:rsidRPr="0030581D">
        <w:rPr>
          <w:spacing w:val="-2"/>
        </w:rPr>
        <w:t>’</w:t>
      </w:r>
      <w:r w:rsidRPr="0030581D">
        <w:rPr>
          <w:spacing w:val="-2"/>
        </w:rPr>
        <w:t>esse all</w:t>
      </w:r>
      <w:r w:rsidR="00D04C06" w:rsidRPr="0030581D">
        <w:rPr>
          <w:spacing w:val="-2"/>
        </w:rPr>
        <w:t>’</w:t>
      </w:r>
      <w:r w:rsidRPr="0030581D">
        <w:rPr>
          <w:spacing w:val="-2"/>
        </w:rPr>
        <w:t>art. 51 Statuto, riguardanti ipotesi di contenzioso più tipicamente “amministrativo”, come quello riguardante l</w:t>
      </w:r>
      <w:r w:rsidR="00D04C06" w:rsidRPr="0030581D">
        <w:rPr>
          <w:spacing w:val="-2"/>
        </w:rPr>
        <w:t>’</w:t>
      </w:r>
      <w:r w:rsidRPr="0030581D">
        <w:rPr>
          <w:spacing w:val="-2"/>
        </w:rPr>
        <w:t>impugnazione delle decisioni adottate dal Consiglio in materia di aiuti di Stato (art. 108, par. 2, terzo comma, TFUE) o degli atti del Consiglio adottati in forza di un regolamento del Consiglio relativo alle misure di difesa commerciale ai sensi dell</w:t>
      </w:r>
      <w:r w:rsidR="00D04C06" w:rsidRPr="0030581D">
        <w:rPr>
          <w:spacing w:val="-2"/>
        </w:rPr>
        <w:t>’</w:t>
      </w:r>
      <w:r w:rsidRPr="0030581D">
        <w:rPr>
          <w:spacing w:val="-2"/>
        </w:rPr>
        <w:t>art. 207 TFUE, o ancora degli atti del Consiglio con i quali ques</w:t>
      </w:r>
      <w:r w:rsidR="0030581D" w:rsidRPr="0030581D">
        <w:rPr>
          <w:spacing w:val="-2"/>
        </w:rPr>
        <w:softHyphen/>
      </w:r>
      <w:r w:rsidRPr="0030581D">
        <w:rPr>
          <w:spacing w:val="-2"/>
        </w:rPr>
        <w:t>t</w:t>
      </w:r>
      <w:r w:rsidR="00D04C06" w:rsidRPr="0030581D">
        <w:rPr>
          <w:spacing w:val="-2"/>
        </w:rPr>
        <w:t>’</w:t>
      </w:r>
      <w:r w:rsidRPr="0030581D">
        <w:rPr>
          <w:spacing w:val="-2"/>
        </w:rPr>
        <w:t>ul</w:t>
      </w:r>
      <w:r w:rsidR="0030581D" w:rsidRPr="0030581D">
        <w:rPr>
          <w:spacing w:val="-2"/>
        </w:rPr>
        <w:softHyphen/>
      </w:r>
      <w:r w:rsidRPr="0030581D">
        <w:rPr>
          <w:spacing w:val="-2"/>
        </w:rPr>
        <w:t>ti</w:t>
      </w:r>
      <w:r w:rsidR="0030581D" w:rsidRPr="0030581D">
        <w:rPr>
          <w:spacing w:val="-2"/>
        </w:rPr>
        <w:softHyphen/>
      </w:r>
      <w:r w:rsidRPr="0030581D">
        <w:rPr>
          <w:spacing w:val="-2"/>
        </w:rPr>
        <w:t>mo esercita competenze di esecuzione conformemente all</w:t>
      </w:r>
      <w:r w:rsidR="00D04C06" w:rsidRPr="0030581D">
        <w:rPr>
          <w:spacing w:val="-2"/>
        </w:rPr>
        <w:t>’</w:t>
      </w:r>
      <w:r w:rsidRPr="0030581D">
        <w:rPr>
          <w:spacing w:val="-2"/>
        </w:rPr>
        <w:t>art. 291, par. 2, TFUE.</w:t>
      </w:r>
    </w:p>
    <w:p w14:paraId="64428EAB" w14:textId="66EA83A8" w:rsidR="00D04C06" w:rsidRPr="00067EB0" w:rsidRDefault="00CC6E33" w:rsidP="00067EB0">
      <w:pPr>
        <w:pStyle w:val="Capoverso"/>
      </w:pPr>
      <w:r w:rsidRPr="00853B2F">
        <w:rPr>
          <w:i/>
        </w:rPr>
        <w:t>In secondo luogo</w:t>
      </w:r>
      <w:r w:rsidRPr="00067EB0">
        <w:t>, sono del pari riservati alla Corte i ricorsi diretti per l</w:t>
      </w:r>
      <w:r w:rsidR="00D04C06" w:rsidRPr="00067EB0">
        <w:t>’</w:t>
      </w:r>
      <w:r w:rsidRPr="00067EB0">
        <w:t>an</w:t>
      </w:r>
      <w:r w:rsidR="001D57B7">
        <w:softHyphen/>
      </w:r>
      <w:r w:rsidRPr="00067EB0">
        <w:t>nul</w:t>
      </w:r>
      <w:r w:rsidR="001D57B7">
        <w:softHyphen/>
      </w:r>
      <w:r w:rsidRPr="00067EB0">
        <w:t xml:space="preserve">lamento di un atto (o per la constatazione di una carenza ad agire), se proposti </w:t>
      </w:r>
      <w:r w:rsidRPr="00853B2F">
        <w:rPr>
          <w:i/>
        </w:rPr>
        <w:t>da un</w:t>
      </w:r>
      <w:r w:rsidR="00D04C06" w:rsidRPr="00853B2F">
        <w:rPr>
          <w:i/>
        </w:rPr>
        <w:t>’</w:t>
      </w:r>
      <w:r w:rsidRPr="00853B2F">
        <w:rPr>
          <w:i/>
        </w:rPr>
        <w:t>altra istituzione</w:t>
      </w:r>
      <w:r w:rsidRPr="00067EB0">
        <w:t xml:space="preserve"> contro un atto legislativo ovvero un atto del Parlamento, del Consiglio europeo, del Consiglio, della Commissione o della </w:t>
      </w:r>
      <w:r w:rsidR="00DA4803">
        <w:t>BCE</w:t>
      </w:r>
      <w:r w:rsidRPr="00067EB0">
        <w:t>. Anche in questo caso non sfugge la valenza costituzionale del contenzioso tipicamente inter</w:t>
      </w:r>
      <w:r w:rsidR="00FA240A">
        <w:t>-</w:t>
      </w:r>
      <w:r w:rsidRPr="00067EB0">
        <w:t>istituzionale riservato alla sola Corte di giustizia.</w:t>
      </w:r>
    </w:p>
    <w:p w14:paraId="0CFA80A2" w14:textId="49F61671" w:rsidR="00CC6E33" w:rsidRPr="00067EB0" w:rsidRDefault="00CC6E33" w:rsidP="00067EB0">
      <w:pPr>
        <w:pStyle w:val="Capoverso"/>
      </w:pPr>
      <w:r w:rsidRPr="00067EB0">
        <w:t>Il quadro giurisdizionale disegnato da</w:t>
      </w:r>
      <w:r w:rsidR="00413965">
        <w:t>i Trattati</w:t>
      </w:r>
      <w:r w:rsidRPr="00067EB0">
        <w:t xml:space="preserve"> conserva quindi alla Corte il ruolo di garante supremo del sistema, poiché all</w:t>
      </w:r>
      <w:r w:rsidR="00D04C06" w:rsidRPr="00067EB0">
        <w:t>’</w:t>
      </w:r>
      <w:r w:rsidRPr="00067EB0">
        <w:t>accresciuto ruolo del Tribunale come “corte generale” per i ricorsi diretti e come giudice competente ad occuparsi di parte delle questioni pregiudiziali si accompagna il riconoscimento della Corte come organismo di vertice. In particolare, è bene ribadirlo, la competenza del Tribunale in primo grado per i ricorsi diretti non esclude evidentemente la giurisdizione della Corte nelle medesime cause in sede di impugnazione, benché limitatamente alle questioni di diritto; inoltre, quanto alla competenza pregiudiziale, la devoluzione parziale al Tribunale è bilanciata dalla garanzia di un potere di intervento successivo della Corte attraverso i meccanismi già ricordati del riesame e del rinvio (art. 256</w:t>
      </w:r>
      <w:r w:rsidR="000E3D39">
        <w:t xml:space="preserve">, </w:t>
      </w:r>
      <w:r w:rsidR="00D325FB">
        <w:t>par. 3</w:t>
      </w:r>
      <w:r w:rsidR="000E3D39">
        <w:t>,</w:t>
      </w:r>
      <w:r w:rsidRPr="00067EB0">
        <w:t xml:space="preserve"> TFUE).</w:t>
      </w:r>
    </w:p>
    <w:p w14:paraId="6370BD76" w14:textId="0CD09919" w:rsidR="00D04C06" w:rsidRPr="0030581D" w:rsidRDefault="00CC6E33" w:rsidP="00067EB0">
      <w:pPr>
        <w:pStyle w:val="Capoverso"/>
        <w:rPr>
          <w:spacing w:val="-4"/>
        </w:rPr>
      </w:pPr>
      <w:r w:rsidRPr="0030581D">
        <w:rPr>
          <w:spacing w:val="-4"/>
        </w:rPr>
        <w:t xml:space="preserve">Quanto al ruolo della Corte come </w:t>
      </w:r>
      <w:r w:rsidRPr="0030581D">
        <w:rPr>
          <w:i/>
          <w:spacing w:val="-4"/>
        </w:rPr>
        <w:t>giudice di secondo ed ultimo grado</w:t>
      </w:r>
      <w:r w:rsidRPr="0030581D">
        <w:rPr>
          <w:spacing w:val="-4"/>
        </w:rPr>
        <w:t xml:space="preserve"> nei ricorsi diretti, va precisato che l</w:t>
      </w:r>
      <w:r w:rsidR="00D04C06" w:rsidRPr="0030581D">
        <w:rPr>
          <w:spacing w:val="-4"/>
        </w:rPr>
        <w:t>’</w:t>
      </w:r>
      <w:r w:rsidRPr="0030581D">
        <w:rPr>
          <w:spacing w:val="-4"/>
        </w:rPr>
        <w:t>impugnazione delle sentenze del Tribunale può essere pro</w:t>
      </w:r>
      <w:r w:rsidR="0030581D">
        <w:rPr>
          <w:spacing w:val="-4"/>
        </w:rPr>
        <w:softHyphen/>
      </w:r>
      <w:r w:rsidRPr="0030581D">
        <w:rPr>
          <w:spacing w:val="-4"/>
        </w:rPr>
        <w:t>posta dalla parte totalmente o parzialmente soccombente nel termine di due mesi dalla notifica (art. 56 Statuto)</w:t>
      </w:r>
      <w:r w:rsidR="00557599" w:rsidRPr="0030581D">
        <w:rPr>
          <w:rStyle w:val="Rimandonotaapidipagina"/>
          <w:spacing w:val="-4"/>
        </w:rPr>
        <w:t> </w:t>
      </w:r>
      <w:r w:rsidR="00557599" w:rsidRPr="0030581D">
        <w:rPr>
          <w:rStyle w:val="Rimandonotaapidipagina"/>
          <w:spacing w:val="-4"/>
        </w:rPr>
        <w:footnoteReference w:id="75"/>
      </w:r>
      <w:r w:rsidRPr="0030581D">
        <w:rPr>
          <w:spacing w:val="-4"/>
        </w:rPr>
        <w:t>. Essa deve limitarsi ai motivi di diritto e può essere fondata su motivi relativi all</w:t>
      </w:r>
      <w:r w:rsidR="00D04C06" w:rsidRPr="0030581D">
        <w:rPr>
          <w:spacing w:val="-4"/>
        </w:rPr>
        <w:t>’</w:t>
      </w:r>
      <w:r w:rsidRPr="0030581D">
        <w:rPr>
          <w:spacing w:val="-4"/>
        </w:rPr>
        <w:t>incompetenza del Tribunale, a vizi della procedura dinanzi al Tribunale recanti pregiudizio agli interessi della parte ricorrente, nonché alla violazione del diritto dell</w:t>
      </w:r>
      <w:r w:rsidR="00D04C06" w:rsidRPr="0030581D">
        <w:rPr>
          <w:spacing w:val="-4"/>
        </w:rPr>
        <w:t>’</w:t>
      </w:r>
      <w:r w:rsidRPr="0030581D">
        <w:rPr>
          <w:spacing w:val="-4"/>
        </w:rPr>
        <w:t>Unione da parte del Tribunale (art. 58 Statuto).</w:t>
      </w:r>
    </w:p>
    <w:p w14:paraId="57D92D15" w14:textId="4512413E" w:rsidR="00CC6E33" w:rsidRPr="00067EB0" w:rsidRDefault="00CC6E33" w:rsidP="0030581D">
      <w:pPr>
        <w:pStyle w:val="Capoverso"/>
        <w:spacing w:line="250" w:lineRule="exact"/>
      </w:pPr>
      <w:r w:rsidRPr="00067EB0">
        <w:t>Va infine segnalato che, giusta l</w:t>
      </w:r>
      <w:r w:rsidR="00D04C06" w:rsidRPr="00067EB0">
        <w:t>’</w:t>
      </w:r>
      <w:r w:rsidRPr="00067EB0">
        <w:t xml:space="preserve">art. 58 </w:t>
      </w:r>
      <w:r w:rsidRPr="00853B2F">
        <w:rPr>
          <w:i/>
          <w:iCs/>
        </w:rPr>
        <w:t>bis</w:t>
      </w:r>
      <w:r w:rsidRPr="00067EB0">
        <w:t xml:space="preserve"> Statuto introdotto dal Regolamento 2019/629</w:t>
      </w:r>
      <w:r w:rsidR="00557599" w:rsidRPr="00557599">
        <w:rPr>
          <w:rStyle w:val="Rimandonotaapidipagina"/>
        </w:rPr>
        <w:t> </w:t>
      </w:r>
      <w:r w:rsidR="00557599" w:rsidRPr="00557599">
        <w:rPr>
          <w:rStyle w:val="Rimandonotaapidipagina"/>
        </w:rPr>
        <w:footnoteReference w:id="76"/>
      </w:r>
      <w:r w:rsidRPr="00067EB0">
        <w:t xml:space="preserve">, opera dinanzi alla Corte un originale meccanismo di </w:t>
      </w:r>
      <w:r w:rsidRPr="00853B2F">
        <w:rPr>
          <w:i/>
        </w:rPr>
        <w:t>fil</w:t>
      </w:r>
      <w:r w:rsidRPr="00853B2F">
        <w:rPr>
          <w:i/>
        </w:rPr>
        <w:lastRenderedPageBreak/>
        <w:t>tro delle impugnazioni</w:t>
      </w:r>
      <w:r w:rsidRPr="00067EB0">
        <w:t xml:space="preserve"> averso le sentenze del Tribunale, qualora quest</w:t>
      </w:r>
      <w:r w:rsidR="00D04C06" w:rsidRPr="00067EB0">
        <w:t>’</w:t>
      </w:r>
      <w:r w:rsidRPr="00067EB0">
        <w:t>ultime abbiano ad oggetto decisioni assunte da una commissione di ricorso indipendente che opera presso alcune agenzie o uffici dell</w:t>
      </w:r>
      <w:r w:rsidR="00D04C06" w:rsidRPr="00067EB0">
        <w:t>’</w:t>
      </w:r>
      <w:r w:rsidRPr="00067EB0">
        <w:t>Unione (il caso più frequente nella prassi è quello delle decisioni assunte dall</w:t>
      </w:r>
      <w:r w:rsidR="00D04C06" w:rsidRPr="00067EB0">
        <w:t>’</w:t>
      </w:r>
      <w:r w:rsidRPr="00067EB0">
        <w:t>Ufficio dell</w:t>
      </w:r>
      <w:r w:rsidR="00D04C06" w:rsidRPr="00067EB0">
        <w:t>’</w:t>
      </w:r>
      <w:r w:rsidRPr="00067EB0">
        <w:t>Unione europea per la proprietà intellettuale, con sede ad Alicante, competente per la registrazione e la validità dei marchi dell</w:t>
      </w:r>
      <w:r w:rsidR="00D04C06" w:rsidRPr="00067EB0">
        <w:t>’</w:t>
      </w:r>
      <w:r w:rsidRPr="00067EB0">
        <w:t>Unione europea). In breve, detto meccanismo, che si giustifica in ragione della natura para</w:t>
      </w:r>
      <w:r w:rsidR="004A5BA3">
        <w:t>-</w:t>
      </w:r>
      <w:r w:rsidRPr="00067EB0">
        <w:t xml:space="preserve">giurisdizionale delle commissioni di ricorso coinvolte, comporta che la Corte, sentito </w:t>
      </w:r>
      <w:r w:rsidR="00D04C06" w:rsidRPr="00067EB0">
        <w:t>l’</w:t>
      </w:r>
      <w:r w:rsidRPr="00067EB0">
        <w:t>A.G., possa non ammettere l</w:t>
      </w:r>
      <w:r w:rsidR="00D04C06" w:rsidRPr="00067EB0">
        <w:t>’</w:t>
      </w:r>
      <w:r w:rsidRPr="00067EB0">
        <w:t>impugnazione a meno che essa sollevi una questione importante per l</w:t>
      </w:r>
      <w:r w:rsidR="00D04C06" w:rsidRPr="00067EB0">
        <w:t>’</w:t>
      </w:r>
      <w:r w:rsidRPr="00067EB0">
        <w:t>unità, la coerenza o lo sviluppo del diritto dell</w:t>
      </w:r>
      <w:r w:rsidR="00D04C06" w:rsidRPr="00067EB0">
        <w:t>’</w:t>
      </w:r>
      <w:r w:rsidRPr="00067EB0">
        <w:t>Unione. Nella prassi, quest</w:t>
      </w:r>
      <w:r w:rsidR="00D04C06" w:rsidRPr="00067EB0">
        <w:t>’</w:t>
      </w:r>
      <w:r w:rsidRPr="00067EB0">
        <w:t>ultima eventualità si è realizzata in casi molto rari</w:t>
      </w:r>
      <w:r w:rsidR="00557599" w:rsidRPr="00557599">
        <w:rPr>
          <w:rStyle w:val="Rimandonotaapidipagina"/>
        </w:rPr>
        <w:t> </w:t>
      </w:r>
      <w:r w:rsidR="00557599" w:rsidRPr="00557599">
        <w:rPr>
          <w:rStyle w:val="Rimandonotaapidipagina"/>
        </w:rPr>
        <w:footnoteReference w:id="77"/>
      </w:r>
      <w:r w:rsidRPr="00067EB0">
        <w:t>, per cui di fatto il Tribunale ha assunto il ruolo di giudice di prima ed ultima istanza per questo specifico contenzioso.</w:t>
      </w:r>
      <w:r w:rsidR="00D04C06" w:rsidRPr="00067EB0">
        <w:t xml:space="preserve"> </w:t>
      </w:r>
    </w:p>
    <w:p w14:paraId="34D75A86" w14:textId="6DE62264" w:rsidR="00CC6E33" w:rsidRPr="00963945" w:rsidRDefault="00D61682" w:rsidP="00676871">
      <w:pPr>
        <w:pStyle w:val="Paragrafo"/>
        <w:rPr>
          <w:szCs w:val="24"/>
        </w:rPr>
      </w:pPr>
      <w:r>
        <w:t xml:space="preserve">5. </w:t>
      </w:r>
      <w:r w:rsidR="00CC6E33" w:rsidRPr="00164B22">
        <w:t>Il Tribunale</w:t>
      </w:r>
    </w:p>
    <w:p w14:paraId="4D07618B" w14:textId="77777777" w:rsidR="00D04C06" w:rsidRPr="00067EB0" w:rsidRDefault="00CC6E33" w:rsidP="0030581D">
      <w:pPr>
        <w:pStyle w:val="Capoverso"/>
        <w:spacing w:line="250" w:lineRule="exact"/>
      </w:pPr>
      <w:r w:rsidRPr="00067EB0">
        <w:t>La necessità di far fronte all</w:t>
      </w:r>
      <w:r w:rsidR="00D04C06" w:rsidRPr="00067EB0">
        <w:t>’</w:t>
      </w:r>
      <w:r w:rsidRPr="00067EB0">
        <w:t>aumento del carico di lavoro della Corte di giustizia e la volontà di inserire anche nel sistema giudiziario europeo, quanto meno nel contenzioso che coinvolge i privati, il principio del doppio grado di giudizio ha motivato la volontà degli Stati membri di affiancare alla Corte di giustizia un altro organismo, il Tribunale di primo grado, successivamente denominato semplicemente Tribunale.</w:t>
      </w:r>
      <w:r w:rsidR="00D04C06" w:rsidRPr="00067EB0">
        <w:t xml:space="preserve"> </w:t>
      </w:r>
    </w:p>
    <w:p w14:paraId="2853E019" w14:textId="59F6CCB6" w:rsidR="00D04C06" w:rsidRPr="00067EB0" w:rsidRDefault="00CC6E33" w:rsidP="0030581D">
      <w:pPr>
        <w:pStyle w:val="Capoverso"/>
        <w:spacing w:line="250" w:lineRule="exact"/>
      </w:pPr>
      <w:r w:rsidRPr="00067EB0">
        <w:t>L</w:t>
      </w:r>
      <w:r w:rsidR="00D04C06" w:rsidRPr="00067EB0">
        <w:t>’</w:t>
      </w:r>
      <w:r w:rsidRPr="00067EB0">
        <w:t>istituzione del Tribunale di primo grado, prevista già dall</w:t>
      </w:r>
      <w:r w:rsidR="00D04C06" w:rsidRPr="00067EB0">
        <w:t>’</w:t>
      </w:r>
      <w:r w:rsidRPr="00067EB0">
        <w:t>Atto Unico Europeo è avvenuta con la decisione del Consiglio n. 88/951</w:t>
      </w:r>
      <w:r w:rsidR="00557599" w:rsidRPr="00557599">
        <w:rPr>
          <w:rStyle w:val="Rimandonotaapidipagina"/>
        </w:rPr>
        <w:t> </w:t>
      </w:r>
      <w:r w:rsidR="00557599" w:rsidRPr="00557599">
        <w:rPr>
          <w:rStyle w:val="Rimandonotaapidipagina"/>
        </w:rPr>
        <w:footnoteReference w:id="78"/>
      </w:r>
      <w:r w:rsidRPr="00860493">
        <w:t>, ma le sue competenze e le sue regole di composizione ed organizzazione hanno nel tempo conosciuto modifiche di rilievo, in particolare con l</w:t>
      </w:r>
      <w:r w:rsidR="00D04C06" w:rsidRPr="00860493">
        <w:t>’</w:t>
      </w:r>
      <w:r w:rsidRPr="00860493">
        <w:t>entrata in vigore del Trattato di Nizza, poi con le modifiche dello Statuto introdotte con i regolamenti approvati tra il 2015 ed il 2019</w:t>
      </w:r>
      <w:r w:rsidR="00557599" w:rsidRPr="00557599">
        <w:rPr>
          <w:rStyle w:val="Rimandonotaapidipagina"/>
        </w:rPr>
        <w:t> </w:t>
      </w:r>
      <w:r w:rsidR="00557599" w:rsidRPr="00557599">
        <w:rPr>
          <w:rStyle w:val="Rimandonotaapidipagina"/>
        </w:rPr>
        <w:footnoteReference w:id="79"/>
      </w:r>
      <w:r w:rsidRPr="00860493">
        <w:t xml:space="preserve"> ed infine con la più volte citata recente de</w:t>
      </w:r>
      <w:r w:rsidRPr="00860493">
        <w:lastRenderedPageBreak/>
        <w:t>voluzione al Tribunale di parte della competenza pregiudiziale</w:t>
      </w:r>
      <w:r w:rsidRPr="00067EB0">
        <w:t>. Nato come giudice “speciale”, con l</w:t>
      </w:r>
      <w:r w:rsidR="00D04C06" w:rsidRPr="00067EB0">
        <w:t>’</w:t>
      </w:r>
      <w:r w:rsidRPr="00067EB0">
        <w:t>obiettivo di occuparsi, sgravandone la Corte di giustizia, di contenziosi tecnicamente complessi anche per la presenza di questioni di fatto e delimitabili (come il contenzioso dei funzionari o quello in tema di regole di concorrenza applicabili alle imprese), il Tribunale ha visto progressivamente accrescere il suo bagaglio di competenze sino a diventare, come più volte rilevato, l</w:t>
      </w:r>
      <w:r w:rsidR="00D04C06" w:rsidRPr="00067EB0">
        <w:t>’</w:t>
      </w:r>
      <w:r w:rsidRPr="00067EB0">
        <w:t>organismo giudiziario dell</w:t>
      </w:r>
      <w:r w:rsidR="00D04C06" w:rsidRPr="00067EB0">
        <w:t>’</w:t>
      </w:r>
      <w:r w:rsidRPr="00067EB0">
        <w:t>Unione dotato di competenza generale in prima istanza per il contenzioso comunitario nei c.d. ricorsi diretti, con riserva del controllo da parte della Corte in secondo ed ultimo grado di giudizio.</w:t>
      </w:r>
    </w:p>
    <w:p w14:paraId="115F6244" w14:textId="57C123D4" w:rsidR="00CC6E33" w:rsidRPr="001D57B7" w:rsidRDefault="00CC6E33" w:rsidP="00067EB0">
      <w:pPr>
        <w:pStyle w:val="Capoverso"/>
        <w:rPr>
          <w:spacing w:val="-1"/>
        </w:rPr>
      </w:pPr>
      <w:r w:rsidRPr="001D57B7">
        <w:rPr>
          <w:spacing w:val="-1"/>
        </w:rPr>
        <w:t>Le regole che concernono la composizione, organizzazione e funzionamento del Tribunale sono, come nel caso della Corte, distribuite tra il TUE (art. 19), il TFUE (art. 254) e lo Statuto (Titolo IV), e non coincidono con quelle della Corte di giustizia, benché taluni profili della disciplina di base del Tribunale siano mutuati direttamente dalle regole dettate per la Corte. Del resto, lo stesso art. 254 TFUE, sesto comma, dichiara applicabili al Tribunale, salvo previsione contraria dello Statuto, le disposizioni del trattato relative alla Corte di giustizia. Analogamente, il Titolo I dello Statuto detta regole comuni per tutti i giudici (ed A.G.) della CGUE, quindi anche per quelli del Tribunale, e l</w:t>
      </w:r>
      <w:r w:rsidR="00D04C06" w:rsidRPr="001D57B7">
        <w:rPr>
          <w:spacing w:val="-1"/>
        </w:rPr>
        <w:t>’</w:t>
      </w:r>
      <w:r w:rsidRPr="001D57B7">
        <w:rPr>
          <w:spacing w:val="-1"/>
        </w:rPr>
        <w:t>art. 47 Statuto dichiara applicabili a quest</w:t>
      </w:r>
      <w:r w:rsidR="00D04C06" w:rsidRPr="001D57B7">
        <w:rPr>
          <w:spacing w:val="-1"/>
        </w:rPr>
        <w:t>’</w:t>
      </w:r>
      <w:r w:rsidRPr="001D57B7">
        <w:rPr>
          <w:spacing w:val="-1"/>
        </w:rPr>
        <w:t xml:space="preserve">ultimo una parte delle disposizioni contenute nella parte dello Statuto dedicata alla organizzazione della Corte di giustizia, come gli artt. 9 e 9 </w:t>
      </w:r>
      <w:r w:rsidRPr="001D57B7">
        <w:rPr>
          <w:i/>
          <w:iCs/>
          <w:spacing w:val="-1"/>
        </w:rPr>
        <w:t>bis</w:t>
      </w:r>
      <w:r w:rsidRPr="001D57B7">
        <w:rPr>
          <w:spacing w:val="-1"/>
        </w:rPr>
        <w:t xml:space="preserve"> (in tema di rinnovo dei giudici e di nomina del Presidente e del vicepresidente), l</w:t>
      </w:r>
      <w:r w:rsidR="00D04C06" w:rsidRPr="001D57B7">
        <w:rPr>
          <w:spacing w:val="-1"/>
        </w:rPr>
        <w:t>’</w:t>
      </w:r>
      <w:r w:rsidRPr="001D57B7">
        <w:rPr>
          <w:spacing w:val="-1"/>
        </w:rPr>
        <w:t>art. 15 sull</w:t>
      </w:r>
      <w:r w:rsidR="00D04C06" w:rsidRPr="001D57B7">
        <w:rPr>
          <w:spacing w:val="-1"/>
        </w:rPr>
        <w:t>’</w:t>
      </w:r>
      <w:r w:rsidRPr="001D57B7">
        <w:rPr>
          <w:spacing w:val="-1"/>
        </w:rPr>
        <w:t>obbligo di residenza nella sede della giurisdizione, gli artt. 17 e 18, attinenti ad aspetti organizzativi dell</w:t>
      </w:r>
      <w:r w:rsidR="00D04C06" w:rsidRPr="001D57B7">
        <w:rPr>
          <w:spacing w:val="-1"/>
        </w:rPr>
        <w:t>’</w:t>
      </w:r>
      <w:r w:rsidRPr="001D57B7">
        <w:rPr>
          <w:spacing w:val="-1"/>
        </w:rPr>
        <w:t>attività del giudice dell</w:t>
      </w:r>
      <w:r w:rsidR="00D04C06" w:rsidRPr="001D57B7">
        <w:rPr>
          <w:spacing w:val="-1"/>
        </w:rPr>
        <w:t>’</w:t>
      </w:r>
      <w:r w:rsidRPr="001D57B7">
        <w:rPr>
          <w:spacing w:val="-1"/>
        </w:rPr>
        <w:t>Unione (requisiti di validità delle deliberazioni, impedimenti, incompatibilità).</w:t>
      </w:r>
    </w:p>
    <w:p w14:paraId="134988AC" w14:textId="09B1B5B1" w:rsidR="00CC6E33" w:rsidRPr="00067EB0" w:rsidRDefault="00CC6E33" w:rsidP="00067EB0">
      <w:pPr>
        <w:pStyle w:val="Capoverso"/>
      </w:pPr>
      <w:r w:rsidRPr="00067EB0">
        <w:t xml:space="preserve">Quanto ai </w:t>
      </w:r>
      <w:r w:rsidRPr="00853B2F">
        <w:rPr>
          <w:i/>
        </w:rPr>
        <w:t>requisiti soggettivi</w:t>
      </w:r>
      <w:r w:rsidRPr="00067EB0">
        <w:t xml:space="preserve"> che i giudici del Tribunale devono soddisfare ai fini della nomina, quello relativo all</w:t>
      </w:r>
      <w:r w:rsidR="00D04C06" w:rsidRPr="00067EB0">
        <w:t>’</w:t>
      </w:r>
      <w:r w:rsidRPr="00067EB0">
        <w:t>indipendenza è comune a tutti i giudici della CGUE (art. 19</w:t>
      </w:r>
      <w:r w:rsidR="000E3D39">
        <w:t xml:space="preserve">, </w:t>
      </w:r>
      <w:r w:rsidRPr="00067EB0">
        <w:t>par. 2, terzo comma, TUE). In relazione alla competenza professionale, invece, l</w:t>
      </w:r>
      <w:r w:rsidR="00D04C06" w:rsidRPr="00067EB0">
        <w:t>’</w:t>
      </w:r>
      <w:r w:rsidRPr="00067EB0">
        <w:t>art. 254 richiede «capacità per l</w:t>
      </w:r>
      <w:r w:rsidR="00D04C06" w:rsidRPr="00067EB0">
        <w:t>’</w:t>
      </w:r>
      <w:r w:rsidRPr="00067EB0">
        <w:t>esercizio di alte funzioni giurisdizionali» in luogo di quella per l</w:t>
      </w:r>
      <w:r w:rsidR="00D04C06" w:rsidRPr="00067EB0">
        <w:t>’</w:t>
      </w:r>
      <w:r w:rsidRPr="00067EB0">
        <w:t>esercizio «delle più alte funzioni giurisdizionali» che l</w:t>
      </w:r>
      <w:r w:rsidR="00D04C06" w:rsidRPr="00067EB0">
        <w:t>’</w:t>
      </w:r>
      <w:r w:rsidRPr="00067EB0">
        <w:t>art. 253, come si è detto, impone per la nomina a giudice della Corte, mentre non compare più la qualifica di «giureconsulti di notoria competenza». La distinzione tra le due formulazioni è di difficile apprezzamento sotto il profilo pratico, se si esclude il potenziale diverso controllo esercitabile dal citato Comitato 255 nell</w:t>
      </w:r>
      <w:r w:rsidR="00D04C06" w:rsidRPr="00067EB0">
        <w:t>’</w:t>
      </w:r>
      <w:r w:rsidRPr="00067EB0">
        <w:t>espressione del parere riferito alle nomine per i due organi giurisdizionali; in effetti, per quel che riguarda le de</w:t>
      </w:r>
      <w:r w:rsidRPr="00067EB0">
        <w:lastRenderedPageBreak/>
        <w:t>signazioni degli Stati membri, l</w:t>
      </w:r>
      <w:r w:rsidR="00D04C06" w:rsidRPr="00067EB0">
        <w:t>’</w:t>
      </w:r>
      <w:r w:rsidRPr="00067EB0">
        <w:t>assenza di riferimenti ai giureconsulti di notoria competenza non ha escluso che nella prassi la nomina per il Tribunale riguardasse non solo magistrati nazionali di alto grado, ma anche docenti universitari, diplomatici, funzionari statali o europei o avvocati dello Stato, ed anche la testuale differenza tra “alte” o più alte” funzioni giurisdizionali non ha comportato conseguenze percepibili nelle scelte degli Stati</w:t>
      </w:r>
      <w:r w:rsidR="00A846CA">
        <w:t>, traducendosi piuttosto, sul versante delle valutazioni di idoneità del Comitato 255, in un approccio meno severo in termini di durata delle esperienze precedenti di alto livello</w:t>
      </w:r>
      <w:r w:rsidR="00EA18BA" w:rsidRPr="00651730">
        <w:rPr>
          <w:vertAlign w:val="superscript"/>
        </w:rPr>
        <w:t> </w:t>
      </w:r>
      <w:r w:rsidR="00A846CA">
        <w:rPr>
          <w:rStyle w:val="Rimandonotaapidipagina"/>
        </w:rPr>
        <w:footnoteReference w:id="80"/>
      </w:r>
      <w:r w:rsidRPr="00067EB0">
        <w:t>. In definitiva, la circostanza, abbastanza frequente, che personalità nominate inizialmente per il Tribunale siano successivamente state nominate per la Corte testimonia in maniera evidente la sostanziale sovrapponibilità tra i requisiti per la nomina nelle due corti.</w:t>
      </w:r>
    </w:p>
    <w:p w14:paraId="43472BC4" w14:textId="0AB7E612" w:rsidR="00D04C06" w:rsidRPr="00067EB0" w:rsidRDefault="00CC6E33" w:rsidP="00067EB0">
      <w:pPr>
        <w:pStyle w:val="Capoverso"/>
      </w:pPr>
      <w:r w:rsidRPr="00067EB0">
        <w:t>La determinazione del numero dei membri del Tribunale è rimessa dall</w:t>
      </w:r>
      <w:r w:rsidR="00D04C06" w:rsidRPr="00067EB0">
        <w:t>’</w:t>
      </w:r>
      <w:r w:rsidRPr="00067EB0">
        <w:t>art. 254, primo comma, allo Statuto della Corte, con il solo vincolo che la composizione rifletta la presenza di «almeno un giudice per Stato membro», in modo che ogni sistema giuridico nazionale veda assicurata, anche all</w:t>
      </w:r>
      <w:r w:rsidR="00D04C06" w:rsidRPr="00067EB0">
        <w:t>’</w:t>
      </w:r>
      <w:r w:rsidRPr="00067EB0">
        <w:t>interno del Tribunale, la “rappresentanza” della propria tradizione giuridica. A differenza della composizione della Corte, la cui variazione è inderogabilmente legata al variare degli Stati membri dell</w:t>
      </w:r>
      <w:r w:rsidR="00D04C06" w:rsidRPr="00067EB0">
        <w:t>’</w:t>
      </w:r>
      <w:r w:rsidRPr="00067EB0">
        <w:t xml:space="preserve">Unione (cfr. art. 19, par. 2, TUE), quella del Tribunale è quindi più flessibile, atteso che essa può essere mutata dal Consiglio e dal Parlamento, attraverso una modifica in via legislativa dello Statuto </w:t>
      </w:r>
      <w:r w:rsidRPr="00853B2F">
        <w:rPr>
          <w:i/>
        </w:rPr>
        <w:t>ex</w:t>
      </w:r>
      <w:r w:rsidRPr="00067EB0">
        <w:t xml:space="preserve"> art. 281 TFUE, discrezionalmente secondo modelli non precisati dalle regole dei trattati. Da questo punto di vista, va rimarcata l</w:t>
      </w:r>
      <w:r w:rsidR="00D04C06" w:rsidRPr="00067EB0">
        <w:t>’</w:t>
      </w:r>
      <w:r w:rsidRPr="00067EB0">
        <w:t>evoluzione che la composizione del Tribunale ha conosciuto nel 2015, quando il legislatore dell</w:t>
      </w:r>
      <w:r w:rsidR="00D04C06" w:rsidRPr="00067EB0">
        <w:t>’</w:t>
      </w:r>
      <w:r w:rsidRPr="00067EB0">
        <w:t>Unione ha deciso, su proposta della Corte di giustizia, di far fronte all</w:t>
      </w:r>
      <w:r w:rsidR="00D04C06" w:rsidRPr="00067EB0">
        <w:t>’</w:t>
      </w:r>
      <w:r w:rsidRPr="00067EB0">
        <w:t>aumento del carico di lavoro del Tribunale conseguente all</w:t>
      </w:r>
      <w:r w:rsidR="00D04C06" w:rsidRPr="00067EB0">
        <w:t>’</w:t>
      </w:r>
      <w:r w:rsidRPr="00067EB0">
        <w:t xml:space="preserve">aumento delle sue competenze procedendo in maniera progressiva al raddoppio dei giudici del Tribunale, oggi composto da </w:t>
      </w:r>
      <w:r w:rsidRPr="00853B2F">
        <w:rPr>
          <w:i/>
        </w:rPr>
        <w:t>due giudici per Stato membro</w:t>
      </w:r>
      <w:r w:rsidR="00557599" w:rsidRPr="00557599">
        <w:rPr>
          <w:rStyle w:val="Rimandonotaapidipagina"/>
        </w:rPr>
        <w:t> </w:t>
      </w:r>
      <w:r w:rsidR="00557599" w:rsidRPr="00557599">
        <w:rPr>
          <w:rStyle w:val="Rimandonotaapidipagina"/>
        </w:rPr>
        <w:footnoteReference w:id="81"/>
      </w:r>
      <w:r w:rsidRPr="00067EB0">
        <w:t>, con contestuale soppressione dell</w:t>
      </w:r>
      <w:r w:rsidR="00D04C06" w:rsidRPr="00067EB0">
        <w:t>’</w:t>
      </w:r>
      <w:r w:rsidRPr="00067EB0">
        <w:t xml:space="preserve">unico tribunale specializzato in precedenza istituito, il Tribunale della funzione pubblica (v. </w:t>
      </w:r>
      <w:r w:rsidRPr="00853B2F">
        <w:rPr>
          <w:i/>
          <w:iCs/>
        </w:rPr>
        <w:t>infra</w:t>
      </w:r>
      <w:r w:rsidRPr="00067EB0">
        <w:t>). La recentissima devoluzione parziale della competenza pregiudiziale non ha invece portato ad una variazione del numero dei membri del Tribunale, avendo la Corte nella proposta legislativa (ed il legislatore dell</w:t>
      </w:r>
      <w:r w:rsidR="00D04C06" w:rsidRPr="00067EB0">
        <w:t>’</w:t>
      </w:r>
      <w:r w:rsidRPr="00067EB0">
        <w:t>Unione con l</w:t>
      </w:r>
      <w:r w:rsidR="00D04C06" w:rsidRPr="00067EB0">
        <w:t>’</w:t>
      </w:r>
      <w:r w:rsidRPr="00067EB0">
        <w:t>a</w:t>
      </w:r>
      <w:r w:rsidR="001D57B7">
        <w:softHyphen/>
      </w:r>
      <w:r w:rsidRPr="00067EB0">
        <w:t>dozione della proposta stessa) ritenuto che quest</w:t>
      </w:r>
      <w:r w:rsidR="00D04C06" w:rsidRPr="00067EB0">
        <w:t>’</w:t>
      </w:r>
      <w:r w:rsidRPr="00067EB0">
        <w:t xml:space="preserve">ultimo potesse far fronte al nuovo </w:t>
      </w:r>
      <w:r w:rsidRPr="00067EB0">
        <w:lastRenderedPageBreak/>
        <w:t>carico di lavoro con l</w:t>
      </w:r>
      <w:r w:rsidR="00D04C06" w:rsidRPr="00067EB0">
        <w:t>’</w:t>
      </w:r>
      <w:r w:rsidRPr="00067EB0">
        <w:t>attuale numero di giudici</w:t>
      </w:r>
      <w:r w:rsidR="00557599" w:rsidRPr="00557599">
        <w:rPr>
          <w:rStyle w:val="Rimandonotaapidipagina"/>
        </w:rPr>
        <w:t> </w:t>
      </w:r>
      <w:r w:rsidR="00557599" w:rsidRPr="00557599">
        <w:rPr>
          <w:rStyle w:val="Rimandonotaapidipagina"/>
        </w:rPr>
        <w:footnoteReference w:id="82"/>
      </w:r>
      <w:r w:rsidRPr="00067EB0">
        <w:t>.</w:t>
      </w:r>
    </w:p>
    <w:p w14:paraId="31BFC10E" w14:textId="73B83EB0" w:rsidR="00D04C06" w:rsidRPr="00067EB0" w:rsidRDefault="00CC6E33" w:rsidP="00067EB0">
      <w:pPr>
        <w:pStyle w:val="Capoverso"/>
      </w:pPr>
      <w:r w:rsidRPr="00067EB0">
        <w:t>La composizione del Tribunale non prevede invece la presenza di A.G. “stabili”, e ciò a differenza della composizione della Corte di giustizia. Il ruolo di A.G. è comunque contemplato dallo Statuto e viene svolto da uno o più giudici del Tribunale. Se per i ricorsi diretti il coinvolgimento nella procedura di un A.G. è solo eventuale e, nella prassi, molto raro, diversa è la situazione per quanto concerne le procedure pregiudiziali: in questo caso, la volontà di prevedere per il Tribunale le stesse garanzie procedurali previste per la Corte ha portato a prescegliere una soluzione innovativa, vale a dire quella di affidare il ruolo dell</w:t>
      </w:r>
      <w:r w:rsidR="00D04C06" w:rsidRPr="00067EB0">
        <w:t>’</w:t>
      </w:r>
      <w:r w:rsidRPr="00067EB0">
        <w:t>A.G. ai giudici del Tribunale, ma questa volta in maniera stabile e continuativa. In breve, il nuovo testo dello Statuto, all</w:t>
      </w:r>
      <w:r w:rsidR="00D04C06" w:rsidRPr="00067EB0">
        <w:t>’</w:t>
      </w:r>
      <w:r w:rsidRPr="00067EB0">
        <w:t xml:space="preserve">art. 49 </w:t>
      </w:r>
      <w:r w:rsidRPr="00853B2F">
        <w:rPr>
          <w:i/>
          <w:iCs/>
        </w:rPr>
        <w:t>bis</w:t>
      </w:r>
      <w:r w:rsidRPr="00067EB0">
        <w:t>, prevede che i giudici eleggano tra di loro, per un periodo di tre anni rinnovabile una sola volta, uno o più membri</w:t>
      </w:r>
      <w:r w:rsidR="00557599" w:rsidRPr="00557599">
        <w:rPr>
          <w:rStyle w:val="Rimandonotaapidipagina"/>
        </w:rPr>
        <w:t> </w:t>
      </w:r>
      <w:r w:rsidR="00557599" w:rsidRPr="00557599">
        <w:rPr>
          <w:rStyle w:val="Rimandonotaapidipagina"/>
        </w:rPr>
        <w:footnoteReference w:id="83"/>
      </w:r>
      <w:r w:rsidRPr="00067EB0">
        <w:t xml:space="preserve"> chiamati a svolgere anche le funzioni di A.G., con il vincolo che a questo ruolo possono essere chiamati solo giudici che appartengono ad una sezione diversa da quella che giudicherà la causa in questione. I membri del Tribunale chiamati a</w:t>
      </w:r>
      <w:r w:rsidR="00A846CA">
        <w:t>lle</w:t>
      </w:r>
      <w:r w:rsidRPr="00067EB0">
        <w:t xml:space="preserve"> funzioni di A.G. potranno continuare a svolgere anche le funzioni di giudice, ma soltanto in cause diverse da quelle pregiudiziali.</w:t>
      </w:r>
    </w:p>
    <w:p w14:paraId="16D67EE4" w14:textId="1C66E083" w:rsidR="00CC6E33" w:rsidRPr="00067EB0" w:rsidRDefault="00CC6E33" w:rsidP="00067EB0">
      <w:pPr>
        <w:pStyle w:val="Capoverso"/>
      </w:pPr>
      <w:r w:rsidRPr="00067EB0">
        <w:t>Quanto alla procedura di nomina dei membri del Tribunale, si applicano le stesse regole (e, in principio, le stesse prassi) prima ricordate rispetto ai giudici ed A.G. della Corte di giustizia, e rimane ferma la regola generale per cui la nomina è effettuata formalmente di comune accordo dai governi degli Stati membri per la durata di sei anni, con rinnovo parziale ogni tre. Anche nel caso dei giudici del Tribunale, la nomina è preceduta dal parere del Comitato 255. Non vi sono limiti alla conferma dei membri uscenti.</w:t>
      </w:r>
    </w:p>
    <w:p w14:paraId="46B872BA" w14:textId="16C0D438" w:rsidR="00D04C06" w:rsidRPr="00067EB0" w:rsidRDefault="00CC6E33" w:rsidP="00067EB0">
      <w:pPr>
        <w:pStyle w:val="Capoverso"/>
      </w:pPr>
      <w:r w:rsidRPr="00067EB0">
        <w:t>Il Presidente del Tribunale, eletto dalla conferenza plenaria</w:t>
      </w:r>
      <w:r w:rsidR="00A846CA">
        <w:t xml:space="preserve"> che comprende tutti i giudici del Tribunale</w:t>
      </w:r>
      <w:r w:rsidRPr="00067EB0">
        <w:t>, svolge funzioni sia giurisdizionali (decide, su tutte le richieste di provvedimenti cautelari, tra cui la sospensione dell</w:t>
      </w:r>
      <w:r w:rsidR="00D04C06" w:rsidRPr="00067EB0">
        <w:t>’</w:t>
      </w:r>
      <w:r w:rsidRPr="00067EB0">
        <w:t xml:space="preserve">esecuzione di un atto impugnato) che amministrative e di rappresentanza (art. 10 reg. proc. </w:t>
      </w:r>
      <w:proofErr w:type="spellStart"/>
      <w:r w:rsidRPr="00067EB0">
        <w:t>Trib</w:t>
      </w:r>
      <w:proofErr w:type="spellEnd"/>
      <w:r w:rsidRPr="00067EB0">
        <w:t>.). Al Presidente è affiancato un Vicepresidente, anch</w:t>
      </w:r>
      <w:r w:rsidR="00D04C06" w:rsidRPr="00067EB0">
        <w:t>’</w:t>
      </w:r>
      <w:r w:rsidRPr="00067EB0">
        <w:t>egli eletto dalla conferenza plenaria, che assiste il Presidente e lo sostituisce in caso di impedimento, oltre a svolgere funzioni giurisdizionali partecipando a rotazione alle formazioni giudicanti nelle varie sezioni del Tribunale.</w:t>
      </w:r>
    </w:p>
    <w:p w14:paraId="23E75719" w14:textId="337A012C" w:rsidR="00D04C06" w:rsidRPr="00067EB0" w:rsidRDefault="00CC6E33" w:rsidP="00067EB0">
      <w:pPr>
        <w:pStyle w:val="Capoverso"/>
      </w:pPr>
      <w:r w:rsidRPr="00067EB0">
        <w:t>L</w:t>
      </w:r>
      <w:r w:rsidR="00D04C06" w:rsidRPr="00067EB0">
        <w:t>’</w:t>
      </w:r>
      <w:r w:rsidRPr="00067EB0">
        <w:t xml:space="preserve">art. 50 Statuto configura per il Tribunale un ventaglio di </w:t>
      </w:r>
      <w:r w:rsidRPr="00853B2F">
        <w:rPr>
          <w:i/>
        </w:rPr>
        <w:t>formazioni giudicanti</w:t>
      </w:r>
      <w:r w:rsidRPr="00067EB0">
        <w:t xml:space="preserve"> più ampio di quello previsto dall</w:t>
      </w:r>
      <w:r w:rsidR="00D04C06" w:rsidRPr="00067EB0">
        <w:t>’</w:t>
      </w:r>
      <w:r w:rsidRPr="00067EB0">
        <w:t>art. 16 per la Corte di giustizia. Ed infatti il Tribunale, all</w:t>
      </w:r>
      <w:r w:rsidR="00D04C06" w:rsidRPr="00067EB0">
        <w:t>’</w:t>
      </w:r>
      <w:r w:rsidRPr="00067EB0">
        <w:t xml:space="preserve">interno del quale al momento operano dieci sezioni, di </w:t>
      </w:r>
      <w:r w:rsidRPr="00067EB0">
        <w:lastRenderedPageBreak/>
        <w:t>cui due composte da sei giudici e le altre da cinque, si riunisce per default nella formazione a tre giudici, con la quale è definita la grande maggioranza di cause, ma anche, se così dispone la conferenza plenaria, nella formazione a cinque giudici</w:t>
      </w:r>
      <w:r w:rsidR="00704DFF" w:rsidRPr="00860493">
        <w:t xml:space="preserve"> </w:t>
      </w:r>
      <w:r w:rsidRPr="00860493">
        <w:t xml:space="preserve">(c.d. </w:t>
      </w:r>
      <w:r w:rsidR="00307640">
        <w:rPr>
          <w:i/>
          <w:snapToGrid w:val="0"/>
          <w:u w:color="000000"/>
        </w:rPr>
        <w:t>C</w:t>
      </w:r>
      <w:r w:rsidRPr="00853B2F">
        <w:rPr>
          <w:i/>
          <w:snapToGrid w:val="0"/>
          <w:u w:color="000000"/>
        </w:rPr>
        <w:t xml:space="preserve">hambre </w:t>
      </w:r>
      <w:proofErr w:type="spellStart"/>
      <w:r w:rsidR="00307640" w:rsidRPr="00853B2F">
        <w:rPr>
          <w:i/>
          <w:snapToGrid w:val="0"/>
          <w:u w:color="000000"/>
        </w:rPr>
        <w:t>É</w:t>
      </w:r>
      <w:r w:rsidRPr="00853B2F">
        <w:rPr>
          <w:i/>
          <w:snapToGrid w:val="0"/>
          <w:u w:color="000000"/>
        </w:rPr>
        <w:t>largie</w:t>
      </w:r>
      <w:proofErr w:type="spellEnd"/>
      <w:r w:rsidRPr="00860493">
        <w:t>) o</w:t>
      </w:r>
      <w:r w:rsidRPr="00067EB0">
        <w:t xml:space="preserve"> nella </w:t>
      </w:r>
      <w:r w:rsidR="00307640">
        <w:rPr>
          <w:i/>
          <w:iCs/>
        </w:rPr>
        <w:t>G</w:t>
      </w:r>
      <w:r w:rsidRPr="00853B2F">
        <w:rPr>
          <w:i/>
          <w:iCs/>
        </w:rPr>
        <w:t xml:space="preserve">rande </w:t>
      </w:r>
      <w:r w:rsidR="00307640">
        <w:rPr>
          <w:i/>
          <w:iCs/>
        </w:rPr>
        <w:t>S</w:t>
      </w:r>
      <w:r w:rsidRPr="00853B2F">
        <w:rPr>
          <w:i/>
          <w:iCs/>
        </w:rPr>
        <w:t>ezione</w:t>
      </w:r>
      <w:r w:rsidRPr="00067EB0">
        <w:t xml:space="preserve"> (</w:t>
      </w:r>
      <w:r w:rsidR="00307640">
        <w:rPr>
          <w:i/>
          <w:iCs/>
        </w:rPr>
        <w:t>G</w:t>
      </w:r>
      <w:r w:rsidRPr="00853B2F">
        <w:rPr>
          <w:i/>
          <w:iCs/>
        </w:rPr>
        <w:t xml:space="preserve">rande </w:t>
      </w:r>
      <w:r w:rsidR="00307640">
        <w:rPr>
          <w:i/>
          <w:iCs/>
        </w:rPr>
        <w:t>C</w:t>
      </w:r>
      <w:r w:rsidRPr="00853B2F">
        <w:rPr>
          <w:i/>
          <w:iCs/>
        </w:rPr>
        <w:t>hambre</w:t>
      </w:r>
      <w:r w:rsidRPr="00067EB0">
        <w:t>, quindici giudici)</w:t>
      </w:r>
      <w:r w:rsidR="00557599" w:rsidRPr="00557599">
        <w:rPr>
          <w:rStyle w:val="Rimandonotaapidipagina"/>
        </w:rPr>
        <w:t> </w:t>
      </w:r>
      <w:r w:rsidR="00557599" w:rsidRPr="00557599">
        <w:rPr>
          <w:rStyle w:val="Rimandonotaapidipagina"/>
        </w:rPr>
        <w:footnoteReference w:id="84"/>
      </w:r>
      <w:r w:rsidRPr="00067EB0">
        <w:t>, qualora la complessità giuridica o l</w:t>
      </w:r>
      <w:r w:rsidR="00D04C06" w:rsidRPr="00067EB0">
        <w:t>’</w:t>
      </w:r>
      <w:r w:rsidRPr="00067EB0">
        <w:t>importanza della causa lo giustifichi</w:t>
      </w:r>
      <w:r w:rsidR="00557599" w:rsidRPr="00557599">
        <w:rPr>
          <w:rStyle w:val="Rimandonotaapidipagina"/>
        </w:rPr>
        <w:t> </w:t>
      </w:r>
      <w:r w:rsidR="00557599" w:rsidRPr="00557599">
        <w:rPr>
          <w:rStyle w:val="Rimandonotaapidipagina"/>
        </w:rPr>
        <w:footnoteReference w:id="85"/>
      </w:r>
      <w:r w:rsidRPr="00067EB0">
        <w:t>. Raramente, il Tribunale decide nella formazione del giudice unico</w:t>
      </w:r>
      <w:r w:rsidR="00557599" w:rsidRPr="00557599">
        <w:rPr>
          <w:vertAlign w:val="superscript"/>
        </w:rPr>
        <w:t> </w:t>
      </w:r>
      <w:r w:rsidR="00557599" w:rsidRPr="00557599">
        <w:rPr>
          <w:vertAlign w:val="superscript"/>
        </w:rPr>
        <w:footnoteReference w:id="86"/>
      </w:r>
      <w:r w:rsidRPr="00067EB0">
        <w:t>. La causa dev</w:t>
      </w:r>
      <w:r w:rsidR="00D04C06" w:rsidRPr="00067EB0">
        <w:t>’</w:t>
      </w:r>
      <w:r w:rsidRPr="00067EB0">
        <w:t>essere trattata da una sezione che si riunisce con almeno cinque giudici quando lo richiedano uno Stato membro o un</w:t>
      </w:r>
      <w:r w:rsidR="00D04C06" w:rsidRPr="00067EB0">
        <w:t>’</w:t>
      </w:r>
      <w:r w:rsidRPr="00067EB0">
        <w:t>istituzione dell</w:t>
      </w:r>
      <w:r w:rsidR="00D04C06" w:rsidRPr="00067EB0">
        <w:t>’</w:t>
      </w:r>
      <w:r w:rsidRPr="00067EB0">
        <w:t xml:space="preserve">Unione parti nel procedimento. Il regolamento di modifica dello Statuto, adottato al fine principale di trasferire parzialmente al Tribunale la competenza pregiudiziale, prevede </w:t>
      </w:r>
      <w:r w:rsidR="00AC0E63">
        <w:t>la modifica dell’art. 50, secon</w:t>
      </w:r>
      <w:r w:rsidR="003742B2">
        <w:t>d</w:t>
      </w:r>
      <w:r w:rsidR="00AC0E63">
        <w:t xml:space="preserve">o comma, Statuto con </w:t>
      </w:r>
      <w:r w:rsidRPr="00067EB0">
        <w:t>l</w:t>
      </w:r>
      <w:r w:rsidR="00D04C06" w:rsidRPr="00067EB0">
        <w:t>’</w:t>
      </w:r>
      <w:r w:rsidRPr="00067EB0">
        <w:t xml:space="preserve">aggiunta di una nuova </w:t>
      </w:r>
      <w:r w:rsidR="00307640">
        <w:rPr>
          <w:i/>
          <w:iCs/>
        </w:rPr>
        <w:t>S</w:t>
      </w:r>
      <w:r w:rsidRPr="00853B2F">
        <w:rPr>
          <w:i/>
          <w:iCs/>
        </w:rPr>
        <w:t xml:space="preserve">ezione </w:t>
      </w:r>
      <w:r w:rsidR="00307640">
        <w:rPr>
          <w:i/>
          <w:iCs/>
        </w:rPr>
        <w:t>I</w:t>
      </w:r>
      <w:r w:rsidRPr="00853B2F">
        <w:rPr>
          <w:i/>
          <w:iCs/>
        </w:rPr>
        <w:t>ntermedia</w:t>
      </w:r>
      <w:r w:rsidRPr="00067EB0">
        <w:t xml:space="preserve"> tra le sezioni di cinque giudici e la grande sezione (</w:t>
      </w:r>
      <w:r w:rsidR="00307640">
        <w:rPr>
          <w:i/>
          <w:iCs/>
        </w:rPr>
        <w:t>C</w:t>
      </w:r>
      <w:r w:rsidRPr="00853B2F">
        <w:rPr>
          <w:i/>
          <w:iCs/>
        </w:rPr>
        <w:t xml:space="preserve">hambre </w:t>
      </w:r>
      <w:proofErr w:type="spellStart"/>
      <w:r w:rsidR="00307640">
        <w:rPr>
          <w:i/>
          <w:iCs/>
        </w:rPr>
        <w:t>I</w:t>
      </w:r>
      <w:r w:rsidRPr="00853B2F">
        <w:rPr>
          <w:i/>
          <w:iCs/>
        </w:rPr>
        <w:t>ntermediaire</w:t>
      </w:r>
      <w:proofErr w:type="spellEnd"/>
      <w:r w:rsidRPr="00067EB0">
        <w:t xml:space="preserve">), le cui funzioni e la cui composizione, anche per quel che concerne il numero di giudici che la comporranno, è decisa dal reg. proc. </w:t>
      </w:r>
      <w:proofErr w:type="spellStart"/>
      <w:r w:rsidRPr="00067EB0">
        <w:t>Trib</w:t>
      </w:r>
      <w:proofErr w:type="spellEnd"/>
      <w:r w:rsidRPr="00067EB0">
        <w:t>.</w:t>
      </w:r>
      <w:r w:rsidR="00EA18BA" w:rsidRPr="00651730">
        <w:rPr>
          <w:vertAlign w:val="superscript"/>
        </w:rPr>
        <w:t> </w:t>
      </w:r>
      <w:r w:rsidR="00AC0E63">
        <w:rPr>
          <w:rStyle w:val="Rimandonotaapidipagina"/>
        </w:rPr>
        <w:footnoteReference w:id="87"/>
      </w:r>
      <w:r w:rsidRPr="00067EB0">
        <w:t xml:space="preserve"> Sempre in tema di competenza pregiudiziale, lo Statuto prevede che per questo tipo di cause la formazione giudicante sarà quella intermedia se così è richiesto da uno Stato membro o da una istituzione che siano parti della controversia (art. 50, quarto comma); inoltre la formazione di base del Tribunale sarà quella di cinque giudici, con facoltà del Tribunale di ridurla a tre in ragione della minore complessità della causa.</w:t>
      </w:r>
    </w:p>
    <w:p w14:paraId="46D7939E" w14:textId="0C534CFE" w:rsidR="00D04C06" w:rsidRPr="00067EB0" w:rsidRDefault="00CC6E33" w:rsidP="00067EB0">
      <w:pPr>
        <w:pStyle w:val="Capoverso"/>
      </w:pPr>
      <w:r w:rsidRPr="00067EB0">
        <w:t xml:space="preserve">Si noti che di recente, in coincidenza con il rinnovo parziale del 2019, il Tribunale ha adottato un sistema c.d. di </w:t>
      </w:r>
      <w:r w:rsidRPr="00853B2F">
        <w:rPr>
          <w:i/>
        </w:rPr>
        <w:t>specializzazione parziale</w:t>
      </w:r>
      <w:r w:rsidRPr="00067EB0">
        <w:t>, per cui il contenzioso relativo alle due materie di cui esso si occupa più frequentemente, la proprietà intellettuale e il contenzioso dei funzionari, sono assegnate a sezioni a tale scopo specializzate (sei per la proprietà intellettuale, quattro per la funzione pubblica); il contenzioso relativo ad altre materie di competenza del Tribunale, come le misure restrittive nel contesto dell</w:t>
      </w:r>
      <w:r w:rsidR="00D04C06" w:rsidRPr="00067EB0">
        <w:t>’</w:t>
      </w:r>
      <w:r w:rsidRPr="00067EB0">
        <w:t xml:space="preserve">azione esterna, la concorrenza e gli aiuti di Stato e così via, viene invece distribuito a tutte le sezioni secondo regole di turnazione combinate con un generoso ricorso al principio della connessione delle cause per oggetto. Inoltre, sempre in tema </w:t>
      </w:r>
      <w:r w:rsidRPr="00067EB0">
        <w:lastRenderedPageBreak/>
        <w:t>di specializzazione, per far fronte in maniera strutturale alle esigenze legate alla devoluzione parziale al Tribunale della competenza pregiudiziale, il nuovo testo dello Statuto, all</w:t>
      </w:r>
      <w:r w:rsidR="00D04C06" w:rsidRPr="00067EB0">
        <w:t>’</w:t>
      </w:r>
      <w:r w:rsidRPr="00067EB0">
        <w:t xml:space="preserve">art. 50 </w:t>
      </w:r>
      <w:r w:rsidRPr="00853B2F">
        <w:rPr>
          <w:i/>
          <w:iCs/>
        </w:rPr>
        <w:t>ter</w:t>
      </w:r>
      <w:r w:rsidRPr="00067EB0">
        <w:t>, par. 4, prevede che a partire dall</w:t>
      </w:r>
      <w:r w:rsidR="00D04C06" w:rsidRPr="00067EB0">
        <w:t>’</w:t>
      </w:r>
      <w:r w:rsidRPr="00067EB0">
        <w:t>entrata in vigore della riforma, le domande pregiudiziali saranno affidate a sezioni create per questo scopo secondo regole di dettaglio delineate dal Regolamento di procedura</w:t>
      </w:r>
      <w:r w:rsidR="00EA18BA" w:rsidRPr="00651730">
        <w:rPr>
          <w:vertAlign w:val="superscript"/>
        </w:rPr>
        <w:t> </w:t>
      </w:r>
      <w:r w:rsidR="00AC0E63">
        <w:rPr>
          <w:rStyle w:val="Rimandonotaapidipagina"/>
        </w:rPr>
        <w:footnoteReference w:id="88"/>
      </w:r>
      <w:r w:rsidRPr="00067EB0">
        <w:t>.</w:t>
      </w:r>
      <w:r w:rsidR="00D04C06" w:rsidRPr="00067EB0">
        <w:t xml:space="preserve"> </w:t>
      </w:r>
    </w:p>
    <w:p w14:paraId="249A13B2" w14:textId="398DFDE5" w:rsidR="00CC6E33" w:rsidRPr="00067EB0" w:rsidRDefault="00CC6E33" w:rsidP="00676871">
      <w:pPr>
        <w:pStyle w:val="Capoverso"/>
        <w:rPr>
          <w:snapToGrid w:val="0"/>
        </w:rPr>
      </w:pPr>
      <w:r w:rsidRPr="00067EB0">
        <w:t xml:space="preserve">Il Tribunale assume poi, a partire dal trattato di Nizza, il ruolo di </w:t>
      </w:r>
      <w:r w:rsidRPr="00853B2F">
        <w:rPr>
          <w:i/>
        </w:rPr>
        <w:t>giudice di seconda istanza</w:t>
      </w:r>
      <w:r w:rsidRPr="00067EB0">
        <w:t xml:space="preserve"> rispetto alle decisioni dei tribunali specializzati (art. 257 TFUE). Questa nuova configurazione dell</w:t>
      </w:r>
      <w:r w:rsidR="00D04C06" w:rsidRPr="00067EB0">
        <w:t>’</w:t>
      </w:r>
      <w:r w:rsidRPr="00067EB0">
        <w:t>attività del Tribunale, in ragione della quale con il Trattato di Nizza si è deciso di eliminare il riferimento al “primo grado” nella sua stessa denominazione, si è concretizzata per un periodo di tempo limitato con la creazione del Tribunale della funzione pubblica, al quale sono state cedute le competenze – appunto, in primo grado – nel contenzioso dei funzionari dell</w:t>
      </w:r>
      <w:r w:rsidR="00D04C06" w:rsidRPr="00067EB0">
        <w:t>’</w:t>
      </w:r>
      <w:r w:rsidRPr="00067EB0">
        <w:t xml:space="preserve">Unione. La soppressione del TFP nel 2016 ha comportano la </w:t>
      </w:r>
      <w:r w:rsidRPr="0030581D">
        <w:t>riattribuzione</w:t>
      </w:r>
      <w:r w:rsidRPr="00067EB0">
        <w:t xml:space="preserve"> del medesimo contenzioso al Tribunale e quindi il ritorno alla sua originaria natura di giudice comune di prima istanza (con la peculiarità, di cui si è già discusso, del suo ruolo </w:t>
      </w:r>
      <w:r w:rsidR="00D72BAD">
        <w:t xml:space="preserve">sostanzialmente di giudice di ultima istanza </w:t>
      </w:r>
      <w:r w:rsidRPr="00067EB0">
        <w:t>nel contenzioso relativo all</w:t>
      </w:r>
      <w:r w:rsidR="00D04C06" w:rsidRPr="00067EB0">
        <w:t>’</w:t>
      </w:r>
      <w:r w:rsidRPr="00067EB0">
        <w:t>impugnazione delle decisioni delle commissioni di ricorso indipendenti).</w:t>
      </w:r>
    </w:p>
    <w:p w14:paraId="7EBC126A" w14:textId="7B36B930" w:rsidR="00CC6E33" w:rsidRPr="00963945" w:rsidRDefault="00D61682" w:rsidP="00676871">
      <w:pPr>
        <w:pStyle w:val="Paragrafo"/>
        <w:rPr>
          <w:szCs w:val="24"/>
        </w:rPr>
      </w:pPr>
      <w:r>
        <w:t xml:space="preserve">6. </w:t>
      </w:r>
      <w:r w:rsidR="00CC6E33" w:rsidRPr="00164B22">
        <w:t>I Tribunali specializzati</w:t>
      </w:r>
    </w:p>
    <w:p w14:paraId="04AF6E3E" w14:textId="451262A6" w:rsidR="00D04C06" w:rsidRPr="00067EB0" w:rsidRDefault="00CC6E33" w:rsidP="00067EB0">
      <w:pPr>
        <w:pStyle w:val="Capoverso"/>
      </w:pPr>
      <w:r w:rsidRPr="00067EB0">
        <w:t>Una delle più rilevanti modifiche che il sistema giurisdizionale dell</w:t>
      </w:r>
      <w:r w:rsidR="00D04C06" w:rsidRPr="00067EB0">
        <w:t>’</w:t>
      </w:r>
      <w:r w:rsidRPr="00067EB0">
        <w:t>Unione ha conosciuto con il Trattato di Nizza è l</w:t>
      </w:r>
      <w:r w:rsidR="00D04C06" w:rsidRPr="00067EB0">
        <w:t>’</w:t>
      </w:r>
      <w:r w:rsidRPr="00067EB0">
        <w:t>aggiunta di nuovi organismi, le c.d. camere giurisdizionali che ai sensi dell</w:t>
      </w:r>
      <w:r w:rsidR="00D04C06" w:rsidRPr="00067EB0">
        <w:t>’</w:t>
      </w:r>
      <w:r w:rsidRPr="00067EB0">
        <w:t xml:space="preserve">art. 220 </w:t>
      </w:r>
      <w:proofErr w:type="spellStart"/>
      <w:r w:rsidR="000E3D39">
        <w:t>T</w:t>
      </w:r>
      <w:r w:rsidR="008D58B7">
        <w:t>r</w:t>
      </w:r>
      <w:proofErr w:type="spellEnd"/>
      <w:r w:rsidR="008D58B7">
        <w:t xml:space="preserve">. </w:t>
      </w:r>
      <w:r w:rsidRPr="00067EB0">
        <w:t>CE avrebbero potuto essere istituite «presso il Tribunale» ed «incaricate di esercitare, in taluni settori specifici, competenze giurisdizionali previste dal presente Trattato». L</w:t>
      </w:r>
      <w:r w:rsidR="00D04C06" w:rsidRPr="00067EB0">
        <w:t>’</w:t>
      </w:r>
      <w:r w:rsidRPr="00067EB0">
        <w:t>obiettivo era duplice: da un lato, ridimensionare il carico di lavoro del Tribunale, riducendo così i tempi dei processi; dall</w:t>
      </w:r>
      <w:r w:rsidR="00D04C06" w:rsidRPr="00067EB0">
        <w:t>’</w:t>
      </w:r>
      <w:r w:rsidRPr="00067EB0">
        <w:t>altro, prevedere l</w:t>
      </w:r>
      <w:r w:rsidR="00D04C06" w:rsidRPr="00067EB0">
        <w:t>’</w:t>
      </w:r>
      <w:r w:rsidRPr="00067EB0">
        <w:t>istituzione di giudici “specializzati” per materie (e quindi contenziosi) ad alto livello di tecnicismo. Il Trattato di Lisbona ha mantenuto la disciplina precedente, precisando tuttavia, all</w:t>
      </w:r>
      <w:r w:rsidR="00D04C06" w:rsidRPr="00067EB0">
        <w:t>’</w:t>
      </w:r>
      <w:r w:rsidRPr="00067EB0">
        <w:t>art. 19 TUE attualmente vigente, che anche i Tribunali specializzati (nuova denominazione di questi organismi), inseriti nella nuova architettura giudiziaria come componenti “eventuali” della Corte di giustizia dell</w:t>
      </w:r>
      <w:r w:rsidR="00D04C06" w:rsidRPr="00067EB0">
        <w:t>’</w:t>
      </w:r>
      <w:r w:rsidRPr="00067EB0">
        <w:t>Unione europea, partecipano alla missione comune di assicurare il rispetto del diritto nell</w:t>
      </w:r>
      <w:r w:rsidR="00D04C06" w:rsidRPr="00067EB0">
        <w:t>’</w:t>
      </w:r>
      <w:r w:rsidRPr="00067EB0">
        <w:t>interpretazione e nell</w:t>
      </w:r>
      <w:r w:rsidR="00D04C06" w:rsidRPr="00067EB0">
        <w:t>’</w:t>
      </w:r>
      <w:r w:rsidRPr="00067EB0">
        <w:t>applicazione dei trattati.</w:t>
      </w:r>
    </w:p>
    <w:p w14:paraId="05436998" w14:textId="5A8A129B" w:rsidR="00CC6E33" w:rsidRPr="00067EB0" w:rsidRDefault="00CC6E33" w:rsidP="00067EB0">
      <w:pPr>
        <w:pStyle w:val="Capoverso"/>
      </w:pPr>
      <w:r w:rsidRPr="00067EB0">
        <w:t>A differenza, tuttavia, di quanto risulta per la Corte di giustizia e per il Tri</w:t>
      </w:r>
      <w:r w:rsidRPr="00067EB0">
        <w:lastRenderedPageBreak/>
        <w:t>bunale, nessun</w:t>
      </w:r>
      <w:r w:rsidR="00D04C06" w:rsidRPr="00067EB0">
        <w:t>’</w:t>
      </w:r>
      <w:r w:rsidRPr="00067EB0">
        <w:t>altra indicazione si rinviene nel testo dell</w:t>
      </w:r>
      <w:r w:rsidR="00D04C06" w:rsidRPr="00067EB0">
        <w:t>’</w:t>
      </w:r>
      <w:r w:rsidRPr="00067EB0">
        <w:t>art. 19 TUE per quel che concerne la creazione, la composizione ed i requisiti per la nomina a giudice dei Tribunali specializzati. Di ciò si occupa invece l</w:t>
      </w:r>
      <w:r w:rsidR="00D04C06" w:rsidRPr="00067EB0">
        <w:t>’</w:t>
      </w:r>
      <w:r w:rsidRPr="00067EB0">
        <w:t xml:space="preserve">art. 257 TFUE, introdotto dal Trattato di Nizza come art. 225A </w:t>
      </w:r>
      <w:proofErr w:type="spellStart"/>
      <w:r w:rsidR="000E3D39">
        <w:t>T</w:t>
      </w:r>
      <w:r w:rsidR="008D58B7">
        <w:t>r</w:t>
      </w:r>
      <w:proofErr w:type="spellEnd"/>
      <w:r w:rsidR="008D58B7">
        <w:t xml:space="preserve">. </w:t>
      </w:r>
      <w:r w:rsidRPr="00067EB0">
        <w:t>CE e modificato dal Trattato di Lisbona, dedicato più specificamente alla procedura richiesta per la creazione di questi Tribunali ed alla loro composizione.</w:t>
      </w:r>
    </w:p>
    <w:p w14:paraId="7BF61B8B" w14:textId="0BA406CF" w:rsidR="00D04C06" w:rsidRPr="00067EB0" w:rsidRDefault="00CC6E33" w:rsidP="00067EB0">
      <w:pPr>
        <w:pStyle w:val="Capoverso"/>
        <w:rPr>
          <w:snapToGrid w:val="0"/>
        </w:rPr>
      </w:pPr>
      <w:r w:rsidRPr="00067EB0">
        <w:t>Innanzitutto, l</w:t>
      </w:r>
      <w:r w:rsidR="00D04C06" w:rsidRPr="00067EB0">
        <w:t>’</w:t>
      </w:r>
      <w:r w:rsidRPr="00067EB0">
        <w:t xml:space="preserve">art. 257 TFUE, primo comma, precisa che i Tribunali specializzati possono essere </w:t>
      </w:r>
      <w:r w:rsidRPr="00853B2F">
        <w:rPr>
          <w:i/>
        </w:rPr>
        <w:t>affiancati</w:t>
      </w:r>
      <w:r w:rsidRPr="00067EB0">
        <w:t xml:space="preserve"> al Tribunale (con ciò riprendendo una formulazione in merito alla loro limitata autonomia che era stata già inizialmente utilizzata con riferimento ai rapporti tra la Corte di giustizia ed il Tribunale di primo grado) per occuparsi di determinati ricorsi in materie specifiche. Si tratta, evidentemente, di categorie di ricorsi che a seguito della istituzione di un tribunale specializzato, vengono contestualmente sottratti alla competenza del Tribunale in prima istanza ed affidati alla cognizione di quest</w:t>
      </w:r>
      <w:r w:rsidR="00D04C06" w:rsidRPr="00067EB0">
        <w:t>’</w:t>
      </w:r>
      <w:r w:rsidRPr="00067EB0">
        <w:t>ultimo in seconda istanza, in caso di impugnazione</w:t>
      </w:r>
      <w:r w:rsidR="00EA18BA" w:rsidRPr="00651730">
        <w:rPr>
          <w:vertAlign w:val="superscript"/>
        </w:rPr>
        <w:t> </w:t>
      </w:r>
      <w:r w:rsidR="00557599" w:rsidRPr="00EA18BA">
        <w:rPr>
          <w:snapToGrid w:val="0"/>
          <w:vertAlign w:val="superscript"/>
        </w:rPr>
        <w:footnoteReference w:id="89"/>
      </w:r>
      <w:r w:rsidRPr="00EA18BA">
        <w:rPr>
          <w:snapToGrid w:val="0"/>
        </w:rPr>
        <w:t>.</w:t>
      </w:r>
    </w:p>
    <w:p w14:paraId="79D852FA" w14:textId="3E93763D" w:rsidR="00CC6E33" w:rsidRPr="00067EB0" w:rsidRDefault="00CC6E33" w:rsidP="00067EB0">
      <w:pPr>
        <w:pStyle w:val="Capoverso"/>
      </w:pPr>
      <w:r w:rsidRPr="00067EB0">
        <w:rPr>
          <w:snapToGrid w:val="0"/>
        </w:rPr>
        <w:t>Il secondo comma dell</w:t>
      </w:r>
      <w:r w:rsidR="00D04C06" w:rsidRPr="00067EB0">
        <w:rPr>
          <w:snapToGrid w:val="0"/>
        </w:rPr>
        <w:t>’</w:t>
      </w:r>
      <w:r w:rsidRPr="00067EB0">
        <w:rPr>
          <w:snapToGrid w:val="0"/>
        </w:rPr>
        <w:t xml:space="preserve">art. 257 </w:t>
      </w:r>
      <w:r w:rsidRPr="00067EB0">
        <w:t xml:space="preserve">rimette, invece, al regolamento istitutivo dei tribunali specializzati le regole inerenti </w:t>
      </w:r>
      <w:proofErr w:type="gramStart"/>
      <w:r w:rsidRPr="00067EB0">
        <w:t>la</w:t>
      </w:r>
      <w:proofErr w:type="gramEnd"/>
      <w:r w:rsidRPr="00067EB0">
        <w:t xml:space="preserve"> loro </w:t>
      </w:r>
      <w:r w:rsidRPr="00853B2F">
        <w:rPr>
          <w:i/>
        </w:rPr>
        <w:t>composizione</w:t>
      </w:r>
      <w:r w:rsidRPr="00067EB0">
        <w:t xml:space="preserve"> e la portata delle </w:t>
      </w:r>
      <w:r w:rsidRPr="00853B2F">
        <w:rPr>
          <w:i/>
        </w:rPr>
        <w:t>competenze</w:t>
      </w:r>
      <w:r w:rsidRPr="00067EB0">
        <w:t xml:space="preserve"> ad essi conferite.</w:t>
      </w:r>
      <w:r w:rsidRPr="00067EB0">
        <w:rPr>
          <w:snapToGrid w:val="0"/>
        </w:rPr>
        <w:t xml:space="preserve"> La disposizione in commento contiene dunque una «clausola abilitante», attribuendo alla piena discrezionalità del Parlamento e del Consiglio (il quale, peraltro, decide a maggioranza qualificata) il rilevante potere di decidere in merito alla istituzione di nuovi Tribunali, senza che ciò comporti una modifica del Trattati.</w:t>
      </w:r>
    </w:p>
    <w:p w14:paraId="7AF4437E" w14:textId="537F27AE" w:rsidR="00CC6E33" w:rsidRPr="00067EB0" w:rsidRDefault="00CC6E33" w:rsidP="00067EB0">
      <w:pPr>
        <w:pStyle w:val="Capoverso"/>
        <w:rPr>
          <w:snapToGrid w:val="0"/>
        </w:rPr>
      </w:pPr>
      <w:r w:rsidRPr="00067EB0">
        <w:t>Le regole sulla composizione e sulla nomina dei tribunali specializzati differiscono da quelle della Corte e del Tribunale, poiché sono più scarne e meno rigide di quelle dettate per le altre due giurisdizioni dell</w:t>
      </w:r>
      <w:r w:rsidR="00D04C06" w:rsidRPr="00067EB0">
        <w:t>’</w:t>
      </w:r>
      <w:r w:rsidRPr="00067EB0">
        <w:t>Unione. In primo luogo, l</w:t>
      </w:r>
      <w:r w:rsidR="00D04C06" w:rsidRPr="00067EB0">
        <w:t>’</w:t>
      </w:r>
      <w:r w:rsidRPr="00067EB0">
        <w:t xml:space="preserve">art. 257 </w:t>
      </w:r>
      <w:r w:rsidRPr="00067EB0">
        <w:rPr>
          <w:snapToGrid w:val="0"/>
        </w:rPr>
        <w:t>non contiene alcuna indicazione sul numero minimo di giudici e sulla loro derivazione nazionale.</w:t>
      </w:r>
    </w:p>
    <w:p w14:paraId="07CE3096" w14:textId="03B30E7D" w:rsidR="00CC6E33" w:rsidRPr="00067EB0" w:rsidRDefault="00CC6E33" w:rsidP="00067EB0">
      <w:pPr>
        <w:pStyle w:val="Capoverso"/>
        <w:rPr>
          <w:snapToGrid w:val="0"/>
        </w:rPr>
      </w:pPr>
      <w:r w:rsidRPr="00067EB0">
        <w:rPr>
          <w:snapToGrid w:val="0"/>
        </w:rPr>
        <w:t>In secondo luogo, i membri dei tribunali sono scelti (</w:t>
      </w:r>
      <w:r w:rsidRPr="00853B2F">
        <w:rPr>
          <w:i/>
          <w:snapToGrid w:val="0"/>
        </w:rPr>
        <w:t>ex</w:t>
      </w:r>
      <w:r w:rsidRPr="00067EB0">
        <w:rPr>
          <w:snapToGrid w:val="0"/>
        </w:rPr>
        <w:t xml:space="preserve"> art. 257 TFUE, quarto comma) tra persone che offrano tutte le garanzie di indipendenza e possiedano le capacità per l</w:t>
      </w:r>
      <w:r w:rsidR="00D04C06" w:rsidRPr="00067EB0">
        <w:rPr>
          <w:snapToGrid w:val="0"/>
        </w:rPr>
        <w:t>’</w:t>
      </w:r>
      <w:r w:rsidRPr="00067EB0">
        <w:rPr>
          <w:snapToGrid w:val="0"/>
        </w:rPr>
        <w:t>esercizio di funzioni giurisdizionali, laddove, come visto, si richiede per la Corte la capacità di esercitare «le più alte funzioni giurisdizionali» (art. 253, primo comma) e per il Tribunale «alte funzioni giurisdizionali» (art. 254, secondo comma).</w:t>
      </w:r>
    </w:p>
    <w:p w14:paraId="0C2AAF0E" w14:textId="6B3EC5E2" w:rsidR="00CC6E33" w:rsidRPr="00067EB0" w:rsidRDefault="00CC6E33" w:rsidP="00067EB0">
      <w:pPr>
        <w:pStyle w:val="Capoverso"/>
      </w:pPr>
      <w:r w:rsidRPr="00067EB0">
        <w:t>In terzo luogo, la procedura di designazione si discosta da quella stabilita per la Corte ed il Tribunale, in quanto i membri dei tribunali specializzati non sono nominati di</w:t>
      </w:r>
      <w:r w:rsidRPr="00067EB0">
        <w:rPr>
          <w:snapToGrid w:val="0"/>
        </w:rPr>
        <w:t xml:space="preserve"> comune accordo dai governi degli Stati membri, bensì dal Consiglio</w:t>
      </w:r>
      <w:r w:rsidRPr="00067EB0">
        <w:t xml:space="preserve"> che delibera all</w:t>
      </w:r>
      <w:r w:rsidR="00D04C06" w:rsidRPr="00067EB0">
        <w:t>’</w:t>
      </w:r>
      <w:r w:rsidRPr="00067EB0">
        <w:t xml:space="preserve">unanimità (art. 257 TFUE, quarto comma). </w:t>
      </w:r>
    </w:p>
    <w:p w14:paraId="5C8A6747" w14:textId="6162901D" w:rsidR="00CC6E33" w:rsidRPr="00067EB0" w:rsidRDefault="00CC6E33" w:rsidP="00067EB0">
      <w:pPr>
        <w:pStyle w:val="Capoverso"/>
        <w:rPr>
          <w:snapToGrid w:val="0"/>
        </w:rPr>
      </w:pPr>
      <w:r w:rsidRPr="00067EB0">
        <w:rPr>
          <w:snapToGrid w:val="0"/>
        </w:rPr>
        <w:lastRenderedPageBreak/>
        <w:t>Come, prima anticipato, ai sensi del terzo comma dell</w:t>
      </w:r>
      <w:r w:rsidR="00D04C06" w:rsidRPr="00067EB0">
        <w:rPr>
          <w:snapToGrid w:val="0"/>
        </w:rPr>
        <w:t>’</w:t>
      </w:r>
      <w:r w:rsidRPr="00067EB0">
        <w:rPr>
          <w:snapToGrid w:val="0"/>
        </w:rPr>
        <w:t>art. 257 TFUE le decisioni dei tribunali specializzati possono essere oggetto di impugnazione dinanzi al Tribunale,</w:t>
      </w:r>
      <w:r w:rsidRPr="00067EB0">
        <w:t xml:space="preserve"> di regola solo per motivi di diritto ovvero, nell</w:t>
      </w:r>
      <w:r w:rsidR="00D04C06" w:rsidRPr="00067EB0">
        <w:t>’</w:t>
      </w:r>
      <w:r w:rsidRPr="00067EB0">
        <w:t xml:space="preserve">ipotesi in cui il regolamento istitutivo lo preveda, anche per motivi di fatto. </w:t>
      </w:r>
      <w:r w:rsidRPr="00067EB0">
        <w:rPr>
          <w:snapToGrid w:val="0"/>
        </w:rPr>
        <w:t>Le decisioni assunte in appello dal Tribunale possono a loro volta essere oggetto della procedura di «riesame» dinanzi alla Corte di giustizia, ma ciò è possibile solo «eccezionalmente», laddove «sussistano gravi rischi che l</w:t>
      </w:r>
      <w:r w:rsidR="00D04C06" w:rsidRPr="00067EB0">
        <w:rPr>
          <w:snapToGrid w:val="0"/>
        </w:rPr>
        <w:t>’</w:t>
      </w:r>
      <w:r w:rsidRPr="00067EB0">
        <w:rPr>
          <w:snapToGrid w:val="0"/>
        </w:rPr>
        <w:t>unità o la coerenza del diritto del</w:t>
      </w:r>
      <w:r w:rsidR="00476F21">
        <w:rPr>
          <w:snapToGrid w:val="0"/>
        </w:rPr>
        <w:softHyphen/>
      </w:r>
      <w:r w:rsidRPr="00067EB0">
        <w:rPr>
          <w:snapToGrid w:val="0"/>
        </w:rPr>
        <w:t>l</w:t>
      </w:r>
      <w:r w:rsidR="00D04C06" w:rsidRPr="00067EB0">
        <w:rPr>
          <w:snapToGrid w:val="0"/>
        </w:rPr>
        <w:t>’</w:t>
      </w:r>
      <w:r w:rsidRPr="00067EB0">
        <w:rPr>
          <w:snapToGrid w:val="0"/>
        </w:rPr>
        <w:t>Unione siano compromesse» (art. 256, par. 2, TFUE)</w:t>
      </w:r>
      <w:r w:rsidR="00557599" w:rsidRPr="00557599">
        <w:rPr>
          <w:rStyle w:val="Rimandonotaapidipagina"/>
          <w:snapToGrid w:val="0"/>
        </w:rPr>
        <w:t> </w:t>
      </w:r>
      <w:r w:rsidR="00557599" w:rsidRPr="00557599">
        <w:rPr>
          <w:rStyle w:val="Rimandonotaapidipagina"/>
          <w:snapToGrid w:val="0"/>
        </w:rPr>
        <w:footnoteReference w:id="90"/>
      </w:r>
      <w:r w:rsidRPr="00067EB0">
        <w:rPr>
          <w:snapToGrid w:val="0"/>
        </w:rPr>
        <w:t>.</w:t>
      </w:r>
    </w:p>
    <w:p w14:paraId="44A8FBAA" w14:textId="080F64EE" w:rsidR="00CC6E33" w:rsidRPr="00067EB0" w:rsidRDefault="00CC6E33" w:rsidP="00067EB0">
      <w:pPr>
        <w:pStyle w:val="Capoverso"/>
        <w:rPr>
          <w:snapToGrid w:val="0"/>
        </w:rPr>
      </w:pPr>
      <w:r w:rsidRPr="00067EB0">
        <w:rPr>
          <w:snapToGrid w:val="0"/>
        </w:rPr>
        <w:t>L</w:t>
      </w:r>
      <w:r w:rsidR="00D04C06" w:rsidRPr="00067EB0">
        <w:rPr>
          <w:snapToGrid w:val="0"/>
        </w:rPr>
        <w:t>’</w:t>
      </w:r>
      <w:r w:rsidRPr="00067EB0">
        <w:rPr>
          <w:snapToGrid w:val="0"/>
        </w:rPr>
        <w:t>art. 257 TFUE rinvia alle deliberazioni assunte dal legislatore dell</w:t>
      </w:r>
      <w:r w:rsidR="00D04C06" w:rsidRPr="00067EB0">
        <w:rPr>
          <w:snapToGrid w:val="0"/>
        </w:rPr>
        <w:t>’</w:t>
      </w:r>
      <w:r w:rsidRPr="00067EB0">
        <w:rPr>
          <w:snapToGrid w:val="0"/>
        </w:rPr>
        <w:t>Unione per la scelta delle materie oggetto della competenza dei tribunali specializzati, nonché delle categorie di ricorsi in essa rientranti. L</w:t>
      </w:r>
      <w:r w:rsidR="00D04C06" w:rsidRPr="00067EB0">
        <w:rPr>
          <w:snapToGrid w:val="0"/>
        </w:rPr>
        <w:t>’</w:t>
      </w:r>
      <w:r w:rsidRPr="00067EB0">
        <w:rPr>
          <w:snapToGrid w:val="0"/>
        </w:rPr>
        <w:t>unica indicazione rinvenibile dal primo paragrafo di tale articolo è che deve trattarsi di «materie specifiche», aprendosi la strada, dunque, ad un contenzioso di tipo “speciale” per settori delimitati.</w:t>
      </w:r>
    </w:p>
    <w:p w14:paraId="16EDDE4D" w14:textId="39AB74EE" w:rsidR="00CC6E33" w:rsidRPr="00067EB0" w:rsidRDefault="00F82CAE" w:rsidP="00067EB0">
      <w:pPr>
        <w:pStyle w:val="Capoverso"/>
        <w:rPr>
          <w:snapToGrid w:val="0"/>
        </w:rPr>
      </w:pPr>
      <w:r>
        <w:rPr>
          <w:snapToGrid w:val="0"/>
        </w:rPr>
        <w:t>Come prefigurato dalla</w:t>
      </w:r>
      <w:r w:rsidRPr="00F82CAE">
        <w:rPr>
          <w:rFonts w:ascii="Calibri" w:eastAsia="PMingLiU" w:hAnsi="Calibri"/>
          <w:noProof/>
          <w:snapToGrid w:val="0"/>
          <w:lang w:eastAsia="zh-TW"/>
        </w:rPr>
        <w:t xml:space="preserve"> </w:t>
      </w:r>
      <w:r w:rsidRPr="00F82CAE">
        <w:rPr>
          <w:snapToGrid w:val="0"/>
        </w:rPr>
        <w:t xml:space="preserve">Dichiarazione (n. 16) adottata dalla Conferenza intergovernativa ed allegata all’Atto finale del Trattato di Nizza, relativa all’art. 225A </w:t>
      </w:r>
      <w:proofErr w:type="spellStart"/>
      <w:r w:rsidRPr="00F82CAE">
        <w:rPr>
          <w:snapToGrid w:val="0"/>
        </w:rPr>
        <w:t>T</w:t>
      </w:r>
      <w:r w:rsidR="008D58B7">
        <w:rPr>
          <w:snapToGrid w:val="0"/>
        </w:rPr>
        <w:t>r</w:t>
      </w:r>
      <w:proofErr w:type="spellEnd"/>
      <w:r w:rsidR="008D58B7">
        <w:rPr>
          <w:snapToGrid w:val="0"/>
        </w:rPr>
        <w:t xml:space="preserve">. </w:t>
      </w:r>
      <w:r w:rsidRPr="00F82CAE">
        <w:rPr>
          <w:snapToGrid w:val="0"/>
        </w:rPr>
        <w:t>CE</w:t>
      </w:r>
      <w:r>
        <w:rPr>
          <w:snapToGrid w:val="0"/>
        </w:rPr>
        <w:t xml:space="preserve">, </w:t>
      </w:r>
      <w:r w:rsidR="00CC6E33" w:rsidRPr="00067EB0">
        <w:rPr>
          <w:snapToGrid w:val="0"/>
        </w:rPr>
        <w:t>la</w:t>
      </w:r>
      <w:r w:rsidR="00CC6E33" w:rsidRPr="00067EB0">
        <w:t xml:space="preserve"> decisione del 2 novembre 2004, n. 2004/752/CE, </w:t>
      </w:r>
      <w:proofErr w:type="spellStart"/>
      <w:r w:rsidR="00CC6E33" w:rsidRPr="00067EB0">
        <w:t>Euratom</w:t>
      </w:r>
      <w:proofErr w:type="spellEnd"/>
      <w:r w:rsidR="00557599" w:rsidRPr="00557599">
        <w:rPr>
          <w:rStyle w:val="Rimandonotaapidipagina"/>
        </w:rPr>
        <w:t> </w:t>
      </w:r>
      <w:r w:rsidR="00557599" w:rsidRPr="00557599">
        <w:rPr>
          <w:rStyle w:val="Rimandonotaapidipagina"/>
        </w:rPr>
        <w:footnoteReference w:id="91"/>
      </w:r>
      <w:r w:rsidR="00CC6E33" w:rsidRPr="00067EB0">
        <w:t xml:space="preserve"> arricchiva la struttura giurisdizionale comunitaria di un nuovo organ</w:t>
      </w:r>
      <w:r>
        <w:t>ism</w:t>
      </w:r>
      <w:r w:rsidR="00CC6E33" w:rsidRPr="00067EB0">
        <w:t xml:space="preserve">o venendo ad istituire il </w:t>
      </w:r>
      <w:r w:rsidR="00CC6E33" w:rsidRPr="00853B2F">
        <w:rPr>
          <w:i/>
        </w:rPr>
        <w:t>Tribunale della funzione pubblica dell</w:t>
      </w:r>
      <w:r w:rsidR="00D04C06" w:rsidRPr="00853B2F">
        <w:rPr>
          <w:i/>
        </w:rPr>
        <w:t>’</w:t>
      </w:r>
      <w:r w:rsidR="00CC6E33" w:rsidRPr="00853B2F">
        <w:rPr>
          <w:i/>
        </w:rPr>
        <w:t>Unione europea</w:t>
      </w:r>
      <w:r w:rsidR="00CC6E33" w:rsidRPr="00067EB0">
        <w:t xml:space="preserve"> (</w:t>
      </w:r>
      <w:r w:rsidR="008D58B7">
        <w:t>di seguito, “</w:t>
      </w:r>
      <w:r w:rsidR="00CC6E33" w:rsidRPr="00067EB0">
        <w:t>TFP</w:t>
      </w:r>
      <w:r w:rsidR="008D58B7">
        <w:t>”</w:t>
      </w:r>
      <w:r w:rsidR="00CC6E33" w:rsidRPr="00067EB0">
        <w:t xml:space="preserve">). Nel periodo di tempo in cui ha operato (circa 12 anni), il TFP è stato incaricato di statuire sulle controversie tra la Comunità e i suoi agenti, ai sensi degli artt. 236 </w:t>
      </w:r>
      <w:proofErr w:type="spellStart"/>
      <w:r w:rsidR="00466935">
        <w:t>T</w:t>
      </w:r>
      <w:r w:rsidR="008D58B7">
        <w:t>r</w:t>
      </w:r>
      <w:proofErr w:type="spellEnd"/>
      <w:r w:rsidR="008D58B7">
        <w:t xml:space="preserve">. </w:t>
      </w:r>
      <w:r w:rsidR="00CC6E33" w:rsidRPr="00067EB0">
        <w:t xml:space="preserve">CE (oggi 270 TFUE) e 140 B, par. 4, CEEA. </w:t>
      </w:r>
    </w:p>
    <w:p w14:paraId="3E75EA44" w14:textId="0F6558EF" w:rsidR="00CC6E33" w:rsidRPr="00067EB0" w:rsidRDefault="00CC6E33" w:rsidP="00067EB0">
      <w:pPr>
        <w:pStyle w:val="Capoverso"/>
      </w:pPr>
      <w:r w:rsidRPr="00067EB0">
        <w:t>La decisione istitutiva stabiliva altresì che il Tribunale della funzione pubblica, nelle more dell</w:t>
      </w:r>
      <w:r w:rsidR="00D04C06" w:rsidRPr="00067EB0">
        <w:t>’</w:t>
      </w:r>
      <w:r w:rsidRPr="00067EB0">
        <w:t xml:space="preserve">adozione di un proprio regolamento, applicasse </w:t>
      </w:r>
      <w:proofErr w:type="spellStart"/>
      <w:r w:rsidRPr="00853B2F">
        <w:rPr>
          <w:i/>
        </w:rPr>
        <w:t>mutatis</w:t>
      </w:r>
      <w:proofErr w:type="spellEnd"/>
      <w:r w:rsidRPr="00853B2F">
        <w:rPr>
          <w:i/>
        </w:rPr>
        <w:t xml:space="preserve"> </w:t>
      </w:r>
      <w:proofErr w:type="spellStart"/>
      <w:r w:rsidRPr="00853B2F">
        <w:rPr>
          <w:i/>
        </w:rPr>
        <w:t>mutandis</w:t>
      </w:r>
      <w:proofErr w:type="spellEnd"/>
      <w:r w:rsidRPr="00067EB0">
        <w:t xml:space="preserve"> i testi corrispondenti del reg. proc. </w:t>
      </w:r>
      <w:proofErr w:type="spellStart"/>
      <w:r w:rsidRPr="00067EB0">
        <w:t>Trib</w:t>
      </w:r>
      <w:proofErr w:type="spellEnd"/>
      <w:r w:rsidRPr="00067EB0">
        <w:t>. di primo grado: ciò con l</w:t>
      </w:r>
      <w:r w:rsidR="00D04C06" w:rsidRPr="00067EB0">
        <w:t>’</w:t>
      </w:r>
      <w:r w:rsidRPr="00067EB0">
        <w:t>ecce</w:t>
      </w:r>
      <w:r w:rsidR="00E80D45">
        <w:softHyphen/>
      </w:r>
      <w:r w:rsidRPr="00067EB0">
        <w:t xml:space="preserve">zione delle disposizioni relative al giudice unico, in quanto si è ritenuto prematuro far funzionare subito la prima camera giurisdizionale in composizione monocratica. </w:t>
      </w:r>
    </w:p>
    <w:p w14:paraId="4CA918AE" w14:textId="52DDFAF6" w:rsidR="00CC6E33" w:rsidRPr="00067EB0" w:rsidRDefault="00CC6E33" w:rsidP="00067EB0">
      <w:pPr>
        <w:pStyle w:val="Capoverso"/>
      </w:pPr>
      <w:r w:rsidRPr="00067EB0">
        <w:t xml:space="preserve">Con decisione 22 luglio 2005, n. 2005/577/CE, </w:t>
      </w:r>
      <w:proofErr w:type="spellStart"/>
      <w:r w:rsidRPr="00067EB0">
        <w:t>Euratom</w:t>
      </w:r>
      <w:proofErr w:type="spellEnd"/>
      <w:r w:rsidR="00557599" w:rsidRPr="00557599">
        <w:rPr>
          <w:rStyle w:val="Rimandonotaapidipagina"/>
        </w:rPr>
        <w:t> </w:t>
      </w:r>
      <w:r w:rsidR="00557599" w:rsidRPr="00557599">
        <w:rPr>
          <w:rStyle w:val="Rimandonotaapidipagina"/>
        </w:rPr>
        <w:footnoteReference w:id="92"/>
      </w:r>
      <w:r w:rsidRPr="00067EB0">
        <w:t xml:space="preserve">, il Consiglio ha </w:t>
      </w:r>
      <w:r w:rsidRPr="00067EB0">
        <w:lastRenderedPageBreak/>
        <w:t>nominato un numero di giudici, pari a sette, ritenuto adeguato al suo carico di lavoro. La decisione di nominare un numero di giudici di gran lunga inferiore a quello degli Stati membri si accompagnava all</w:t>
      </w:r>
      <w:r w:rsidR="00D04C06" w:rsidRPr="00067EB0">
        <w:t>’</w:t>
      </w:r>
      <w:r w:rsidRPr="00067EB0">
        <w:t>introduzione, nell</w:t>
      </w:r>
      <w:r w:rsidR="00D04C06" w:rsidRPr="00067EB0">
        <w:t>’</w:t>
      </w:r>
      <w:r w:rsidRPr="00067EB0">
        <w:t>allegato I dello Statuto, di una clausola di garanzia, che «assicura una composizione equilibrata del Tribunale secondo una base geografica quanto più ampia possibile tra i cittadini degli Stati membri e per quanto concerne gli ordinamenti giuridici nazionali rappresentati» (art. 3, par. 1).</w:t>
      </w:r>
    </w:p>
    <w:p w14:paraId="0E24AD38" w14:textId="02864424" w:rsidR="00CC6E33" w:rsidRPr="00067EB0" w:rsidRDefault="00CC6E33" w:rsidP="00067EB0">
      <w:pPr>
        <w:pStyle w:val="Capoverso"/>
      </w:pPr>
      <w:r w:rsidRPr="00067EB0">
        <w:t>La scelta dei giudici da parte del Consiglio è stata effettuata sulla base delle candidature presentate dagli interessati in risposta ad un bando pubblico. Peraltro, sperimentando per la prima volta un meccanismo che</w:t>
      </w:r>
      <w:r w:rsidR="00F82CAE">
        <w:t>, come si è visto,</w:t>
      </w:r>
      <w:r w:rsidRPr="00067EB0">
        <w:t xml:space="preserve"> è stato </w:t>
      </w:r>
      <w:r w:rsidR="00F82CAE">
        <w:t xml:space="preserve">successivamente </w:t>
      </w:r>
      <w:r w:rsidRPr="00067EB0">
        <w:t>codificato, con modifiche, all</w:t>
      </w:r>
      <w:r w:rsidR="00D04C06" w:rsidRPr="00067EB0">
        <w:t>’</w:t>
      </w:r>
      <w:r w:rsidRPr="00067EB0">
        <w:t>art. 255 TFUE, la nomina è avvenuta dopo aver consultato un comitato, composto di sette personalità indipendenti, che ha fornito «un parere sull</w:t>
      </w:r>
      <w:r w:rsidR="00D04C06" w:rsidRPr="00067EB0">
        <w:t>’</w:t>
      </w:r>
      <w:r w:rsidRPr="00067EB0">
        <w:t>idoneità dei candidati all</w:t>
      </w:r>
      <w:r w:rsidR="00D04C06" w:rsidRPr="00067EB0">
        <w:t>’</w:t>
      </w:r>
      <w:r w:rsidRPr="00067EB0">
        <w:t xml:space="preserve">esercizio delle funzioni di giudice» e integrato tale parere con un elenco comprendente un numero di candidati almeno doppio rispetto a quello dei giudici da nominare. I giudici sono stati nominati dal Consiglio, rispettando alla lettera i suggerimenti del Comitato, per un mandato di sei anni rinnovabile (art. 2, </w:t>
      </w:r>
      <w:proofErr w:type="spellStart"/>
      <w:r w:rsidRPr="00067EB0">
        <w:t>parr</w:t>
      </w:r>
      <w:proofErr w:type="spellEnd"/>
      <w:r w:rsidRPr="00067EB0">
        <w:t>. 2 e 3, dell</w:t>
      </w:r>
      <w:r w:rsidR="00D04C06" w:rsidRPr="00067EB0">
        <w:t>’</w:t>
      </w:r>
      <w:r w:rsidRPr="00067EB0">
        <w:t>al</w:t>
      </w:r>
      <w:r w:rsidR="00476F21">
        <w:softHyphen/>
      </w:r>
      <w:r w:rsidRPr="00067EB0">
        <w:t>legato I allo Statuto).</w:t>
      </w:r>
    </w:p>
    <w:p w14:paraId="5822D329" w14:textId="7709BF16" w:rsidR="00CC6E33" w:rsidRPr="00067EB0" w:rsidRDefault="00CC6E33" w:rsidP="00676871">
      <w:pPr>
        <w:pStyle w:val="Capoverso"/>
      </w:pPr>
      <w:r w:rsidRPr="00067EB0">
        <w:t>La creazione del TFP ha manifestato effetti positivi sul contenzioso comunitario, contribuendo progressivamente a liberare il Tribunale dal ruolo di giudice di primo grado nel complesso contenzioso “lavoristico” e di conseguenza ad esonerarlo da un volume di cause non trascurabile, pari a circa un quarto di quelle in precedenza annualmente proposte. Ciò nonostante, la sua attività si è interrotta nel 2016, quando, nel contesto del già citato obiettivo di aumentare il numero dei giudici del Tribunale, con il regolamento 2016/1192</w:t>
      </w:r>
      <w:r w:rsidR="00557599" w:rsidRPr="00557599">
        <w:rPr>
          <w:vertAlign w:val="superscript"/>
        </w:rPr>
        <w:t> </w:t>
      </w:r>
      <w:r w:rsidR="00557599" w:rsidRPr="00557599">
        <w:rPr>
          <w:vertAlign w:val="superscript"/>
        </w:rPr>
        <w:footnoteReference w:id="93"/>
      </w:r>
      <w:r w:rsidRPr="00067EB0">
        <w:t xml:space="preserve"> il Parlamento ed il Consiglio provvedevano a sopprimere il TFP ed a riportare le controversie tra l</w:t>
      </w:r>
      <w:r w:rsidR="00D04C06" w:rsidRPr="00067EB0">
        <w:t>’</w:t>
      </w:r>
      <w:r w:rsidRPr="00067EB0">
        <w:t>Unione ed i suoi agenti nell</w:t>
      </w:r>
      <w:r w:rsidR="00D04C06" w:rsidRPr="00067EB0">
        <w:t>’</w:t>
      </w:r>
      <w:r w:rsidRPr="00067EB0">
        <w:t xml:space="preserve">alveo delle competenze in primo grado del Tribunale (cfr. art. 50 </w:t>
      </w:r>
      <w:r w:rsidRPr="00853B2F">
        <w:rPr>
          <w:i/>
          <w:iCs/>
        </w:rPr>
        <w:t>bis</w:t>
      </w:r>
      <w:r w:rsidRPr="00067EB0">
        <w:t xml:space="preserve"> Statuto). Da quel momento, la clausola abilitante di cui all</w:t>
      </w:r>
      <w:r w:rsidR="00D04C06" w:rsidRPr="00067EB0">
        <w:t>’</w:t>
      </w:r>
      <w:r w:rsidRPr="00067EB0">
        <w:t>art. 257 TFUE è rimasta lettera morta.</w:t>
      </w:r>
    </w:p>
    <w:p w14:paraId="1D42FC89" w14:textId="1C19B5A8" w:rsidR="00CC6E33" w:rsidRPr="00963945" w:rsidRDefault="00D61682" w:rsidP="00676871">
      <w:pPr>
        <w:pStyle w:val="Paragrafo"/>
        <w:rPr>
          <w:szCs w:val="24"/>
        </w:rPr>
      </w:pPr>
      <w:r>
        <w:t xml:space="preserve">7. </w:t>
      </w:r>
      <w:r w:rsidR="00CC6E33" w:rsidRPr="00164B22">
        <w:t>L</w:t>
      </w:r>
      <w:r w:rsidR="00D04C06">
        <w:t>’</w:t>
      </w:r>
      <w:r w:rsidR="00CC6E33" w:rsidRPr="00164B22">
        <w:t>avvocato generale</w:t>
      </w:r>
    </w:p>
    <w:p w14:paraId="017ADE17" w14:textId="5C84F6F8" w:rsidR="00D04C06" w:rsidRPr="00067EB0" w:rsidRDefault="00CC6E33" w:rsidP="00067EB0">
      <w:pPr>
        <w:pStyle w:val="Capoverso"/>
      </w:pPr>
      <w:r w:rsidRPr="00067EB0">
        <w:t>Nella sezione dedicata alla Corte di giustizia dell</w:t>
      </w:r>
      <w:r w:rsidR="00D04C06" w:rsidRPr="00067EB0">
        <w:t>’</w:t>
      </w:r>
      <w:r w:rsidRPr="00067EB0">
        <w:t>Unione europea, il TFUE dedica all</w:t>
      </w:r>
      <w:r w:rsidR="00D04C06" w:rsidRPr="00067EB0">
        <w:t>’</w:t>
      </w:r>
      <w:r w:rsidRPr="00067EB0">
        <w:t>A.G. l</w:t>
      </w:r>
      <w:r w:rsidR="00D04C06" w:rsidRPr="00067EB0">
        <w:t>’</w:t>
      </w:r>
      <w:r w:rsidRPr="00067EB0">
        <w:t xml:space="preserve">art. 252, composto di due commi: il primo ne presenta la funzione (quella di assistere la Corte) e ne indica il numero (otto, con facoltà del </w:t>
      </w:r>
      <w:r w:rsidRPr="00067EB0">
        <w:lastRenderedPageBreak/>
        <w:t>Consiglio di aumentarlo). Il secondo precisa quale è la principale attività che l</w:t>
      </w:r>
      <w:r w:rsidR="00D04C06" w:rsidRPr="00067EB0">
        <w:t>’</w:t>
      </w:r>
      <w:r w:rsidRPr="00067EB0">
        <w:t>A.G. è chiamato a svolgere, riferendosi all</w:t>
      </w:r>
      <w:r w:rsidR="00D04C06" w:rsidRPr="00067EB0">
        <w:t>’</w:t>
      </w:r>
      <w:r w:rsidRPr="00067EB0">
        <w:t>“ufficio di presentare pubblicamente, con assoluta imparzialità e in piena indipendenza, conclusioni motivate sulle cause che, conformemente allo Statuto della Corte di giustizia dell</w:t>
      </w:r>
      <w:r w:rsidR="00D04C06" w:rsidRPr="00067EB0">
        <w:t>’</w:t>
      </w:r>
      <w:r w:rsidRPr="00067EB0">
        <w:t>Unione europea, richiedono il suo intervento”.</w:t>
      </w:r>
    </w:p>
    <w:p w14:paraId="6EB90DFE" w14:textId="0A2BB095" w:rsidR="00D04C06" w:rsidRPr="00067EB0" w:rsidRDefault="00CC6E33" w:rsidP="00067EB0">
      <w:pPr>
        <w:pStyle w:val="Capoverso"/>
      </w:pPr>
      <w:r w:rsidRPr="00067EB0">
        <w:t>Figura peculiare del sistema giudiziario dell</w:t>
      </w:r>
      <w:r w:rsidR="00D04C06" w:rsidRPr="00067EB0">
        <w:t>’</w:t>
      </w:r>
      <w:r w:rsidRPr="00067EB0">
        <w:t>Unione, sconosciuta nella composizione e nel funzionamento dei Tribunali internazionali, l</w:t>
      </w:r>
      <w:r w:rsidR="00D04C06" w:rsidRPr="00067EB0">
        <w:t>’</w:t>
      </w:r>
      <w:r w:rsidRPr="00067EB0">
        <w:t xml:space="preserve">A.G. presenta caratteristiche del tutto peculiari anche rispetto ad esperienze, solo in parte analoghe, rinvenibili nei sistemi giudiziari degli Stati membri. In dottrina, viene comunemente avvicinata a quella del </w:t>
      </w:r>
      <w:proofErr w:type="spellStart"/>
      <w:r w:rsidRPr="00853B2F">
        <w:rPr>
          <w:i/>
          <w:iCs/>
        </w:rPr>
        <w:t>commissaire</w:t>
      </w:r>
      <w:proofErr w:type="spellEnd"/>
      <w:r w:rsidRPr="00853B2F">
        <w:rPr>
          <w:i/>
          <w:iCs/>
        </w:rPr>
        <w:t xml:space="preserve"> </w:t>
      </w:r>
      <w:proofErr w:type="spellStart"/>
      <w:r w:rsidRPr="00853B2F">
        <w:rPr>
          <w:i/>
          <w:iCs/>
        </w:rPr>
        <w:t>du</w:t>
      </w:r>
      <w:proofErr w:type="spellEnd"/>
      <w:r w:rsidRPr="00853B2F">
        <w:rPr>
          <w:i/>
          <w:iCs/>
        </w:rPr>
        <w:t xml:space="preserve"> </w:t>
      </w:r>
      <w:proofErr w:type="spellStart"/>
      <w:r w:rsidRPr="00853B2F">
        <w:rPr>
          <w:i/>
          <w:iCs/>
        </w:rPr>
        <w:t>gouvernement</w:t>
      </w:r>
      <w:proofErr w:type="spellEnd"/>
      <w:r w:rsidRPr="00067EB0">
        <w:t xml:space="preserve"> (dal 2009 ridenominato </w:t>
      </w:r>
      <w:proofErr w:type="spellStart"/>
      <w:r w:rsidRPr="00853B2F">
        <w:rPr>
          <w:i/>
        </w:rPr>
        <w:t>rap</w:t>
      </w:r>
      <w:r w:rsidR="001F1A74">
        <w:rPr>
          <w:i/>
        </w:rPr>
        <w:t>p</w:t>
      </w:r>
      <w:r w:rsidRPr="00853B2F">
        <w:rPr>
          <w:i/>
        </w:rPr>
        <w:t>orteur</w:t>
      </w:r>
      <w:proofErr w:type="spellEnd"/>
      <w:r w:rsidRPr="00853B2F">
        <w:rPr>
          <w:i/>
        </w:rPr>
        <w:t xml:space="preserve"> publi</w:t>
      </w:r>
      <w:r w:rsidR="001F1A74">
        <w:rPr>
          <w:i/>
        </w:rPr>
        <w:t>c</w:t>
      </w:r>
      <w:r w:rsidRPr="00067EB0">
        <w:t>) presso il Consiglio di Stato francese, alla quale i redattori del Trattato sembrano essersi ispirati. Inoltre, è solo parzialmente paragonabile alla figura ed ai compiti dei procuratori generali presso le Corti di Cassazione, inclusa quella italiana, in particolare in quanto non appartiene al</w:t>
      </w:r>
      <w:r w:rsidR="00E80D45">
        <w:softHyphen/>
      </w:r>
      <w:r w:rsidRPr="00067EB0">
        <w:t>l</w:t>
      </w:r>
      <w:r w:rsidR="00D04C06" w:rsidRPr="00067EB0">
        <w:t>’</w:t>
      </w:r>
      <w:r w:rsidRPr="00067EB0">
        <w:t>ufficio del Pubblico Ministero.</w:t>
      </w:r>
    </w:p>
    <w:p w14:paraId="630D5B17" w14:textId="5637CA28" w:rsidR="00CC6E33" w:rsidRPr="00067EB0" w:rsidRDefault="00CC6E33" w:rsidP="00067EB0">
      <w:pPr>
        <w:pStyle w:val="Capoverso"/>
      </w:pPr>
      <w:r w:rsidRPr="00067EB0">
        <w:t>Le peculiarità della figura e delle funzioni dell</w:t>
      </w:r>
      <w:r w:rsidR="00D04C06" w:rsidRPr="00067EB0">
        <w:t>’</w:t>
      </w:r>
      <w:r w:rsidRPr="00067EB0">
        <w:t>A.G. rispetto ad omologhi nazionali sono state precisate dalla stessa Corte di giustizia. Nell</w:t>
      </w:r>
      <w:r w:rsidR="00D04C06" w:rsidRPr="00067EB0">
        <w:t>’</w:t>
      </w:r>
      <w:r w:rsidRPr="00067EB0">
        <w:t xml:space="preserve">ordinanza </w:t>
      </w:r>
      <w:proofErr w:type="spellStart"/>
      <w:r w:rsidRPr="00853B2F">
        <w:rPr>
          <w:i/>
          <w:iCs/>
        </w:rPr>
        <w:t>Emesa</w:t>
      </w:r>
      <w:proofErr w:type="spellEnd"/>
      <w:r w:rsidRPr="00853B2F">
        <w:rPr>
          <w:i/>
          <w:iCs/>
        </w:rPr>
        <w:t xml:space="preserve"> Sugar</w:t>
      </w:r>
      <w:r w:rsidR="001F1A74" w:rsidRPr="001F1A74">
        <w:rPr>
          <w:iCs/>
        </w:rPr>
        <w:t>, del 4 febbraio 2000</w:t>
      </w:r>
      <w:r w:rsidR="00557599" w:rsidRPr="00557599">
        <w:rPr>
          <w:rStyle w:val="Rimandonotaapidipagina"/>
        </w:rPr>
        <w:t> </w:t>
      </w:r>
      <w:r w:rsidR="00557599" w:rsidRPr="00557599">
        <w:rPr>
          <w:rStyle w:val="Rimandonotaapidipagina"/>
        </w:rPr>
        <w:footnoteReference w:id="94"/>
      </w:r>
      <w:r w:rsidRPr="00067EB0">
        <w:t xml:space="preserve"> la Corte si è pronunciata sulla conformità del sistema processuale comunitario, nella parte in cui non prevede che le parti possano replicare alle conclusioni dell</w:t>
      </w:r>
      <w:r w:rsidR="00D04C06" w:rsidRPr="00067EB0">
        <w:t>’</w:t>
      </w:r>
      <w:r w:rsidRPr="00067EB0">
        <w:t>A.G., con il principio dell</w:t>
      </w:r>
      <w:r w:rsidR="00D04C06" w:rsidRPr="00067EB0">
        <w:t>’</w:t>
      </w:r>
      <w:r w:rsidRPr="00067EB0">
        <w:t>equo processo codificato all</w:t>
      </w:r>
      <w:r w:rsidR="00D04C06" w:rsidRPr="00067EB0">
        <w:t>’</w:t>
      </w:r>
      <w:r w:rsidRPr="00067EB0">
        <w:t xml:space="preserve">art. 6, par. 1, CEDU, come interpretato dalla Corte EDU in una serie di decisioni inaugurata con la sentenza del 20 febbraio 1996, </w:t>
      </w:r>
      <w:r w:rsidRPr="00853B2F">
        <w:rPr>
          <w:i/>
          <w:iCs/>
        </w:rPr>
        <w:t>Vermeulen c. Belgio</w:t>
      </w:r>
      <w:r w:rsidRPr="00067EB0">
        <w:t>. In quelle occasioni, la Corte di Strasburgo aveva concluso che l</w:t>
      </w:r>
      <w:r w:rsidR="00D04C06" w:rsidRPr="00067EB0">
        <w:t>’</w:t>
      </w:r>
      <w:r w:rsidRPr="00067EB0">
        <w:t>impossibilità, per l</w:t>
      </w:r>
      <w:r w:rsidR="00D04C06" w:rsidRPr="00067EB0">
        <w:t>’</w:t>
      </w:r>
      <w:r w:rsidRPr="00067EB0">
        <w:t>interessato, di replicare al parere del procuratore generale presso la Cassazione prima della conclusione dell</w:t>
      </w:r>
      <w:r w:rsidR="00D04C06" w:rsidRPr="00067EB0">
        <w:t>’</w:t>
      </w:r>
      <w:r w:rsidRPr="00067EB0">
        <w:t>udienza viola il principio del contraddittorio di cui al citato art. 6: ciò in quanto tale diritto implicherebbe «la facoltà per le parti di un processo penale o civile di venire a conoscenza di tutti i documenti e di tutte le osservazioni presentate al giudice, anche da un magistrato indipendente per influenzarne la decisione nonché di discuterla».</w:t>
      </w:r>
    </w:p>
    <w:p w14:paraId="126C6191" w14:textId="45F482CF" w:rsidR="00CC6E33" w:rsidRPr="00067EB0" w:rsidRDefault="00CC6E33" w:rsidP="00067EB0">
      <w:pPr>
        <w:pStyle w:val="Capoverso"/>
      </w:pPr>
      <w:r w:rsidRPr="00067EB0">
        <w:t>Nell</w:t>
      </w:r>
      <w:r w:rsidR="00D04C06" w:rsidRPr="00067EB0">
        <w:t>’</w:t>
      </w:r>
      <w:r w:rsidRPr="00067EB0">
        <w:t xml:space="preserve">ordinanza </w:t>
      </w:r>
      <w:proofErr w:type="spellStart"/>
      <w:r w:rsidRPr="00853B2F">
        <w:rPr>
          <w:i/>
          <w:iCs/>
        </w:rPr>
        <w:t>Emesa</w:t>
      </w:r>
      <w:proofErr w:type="spellEnd"/>
      <w:r w:rsidRPr="00853B2F">
        <w:rPr>
          <w:i/>
          <w:iCs/>
        </w:rPr>
        <w:t xml:space="preserve"> Sugar</w:t>
      </w:r>
      <w:r w:rsidRPr="00067EB0">
        <w:t xml:space="preserve"> la Corte ha precisato le differenze esistenti tra le figure</w:t>
      </w:r>
      <w:r w:rsidR="001F1A74">
        <w:t xml:space="preserve"> nazionali</w:t>
      </w:r>
      <w:r w:rsidRPr="00067EB0">
        <w:t xml:space="preserve"> prese in considerazione dalla Corte di Strasburgo e la figura dell</w:t>
      </w:r>
      <w:r w:rsidR="00D04C06" w:rsidRPr="00067EB0">
        <w:t>’</w:t>
      </w:r>
      <w:r w:rsidRPr="00067EB0">
        <w:t>A.G. Si tratta essenzialmente, secondo la Corte, della circostanza per cui l</w:t>
      </w:r>
      <w:r w:rsidR="00D04C06" w:rsidRPr="00067EB0">
        <w:t>’</w:t>
      </w:r>
      <w:r w:rsidRPr="00067EB0">
        <w:t xml:space="preserve">A.G. va considerato come un </w:t>
      </w:r>
      <w:r w:rsidRPr="00853B2F">
        <w:rPr>
          <w:i/>
          <w:iCs/>
        </w:rPr>
        <w:t>membro della Corte</w:t>
      </w:r>
      <w:r w:rsidRPr="00067EB0">
        <w:t xml:space="preserve"> che, pur non svolgendo una funzione decisionale, assiste questa nell</w:t>
      </w:r>
      <w:r w:rsidR="00D04C06" w:rsidRPr="00067EB0">
        <w:t>’</w:t>
      </w:r>
      <w:r w:rsidRPr="00067EB0">
        <w:t>assolvimento dei suoi compiti, essendovi legato da una «connessione organica e funzionale». E questa qualifica distinguerebbe la figura dell</w:t>
      </w:r>
      <w:r w:rsidR="00D04C06" w:rsidRPr="00067EB0">
        <w:t>’</w:t>
      </w:r>
      <w:r w:rsidRPr="00067EB0">
        <w:t xml:space="preserve">A.G. da quella, ad esempio, del procuratore generale presso la Corte di Cassazione belga, presa in considerazione dalla Corte di Strasburgo nella sentenza </w:t>
      </w:r>
      <w:r w:rsidRPr="00853B2F">
        <w:rPr>
          <w:i/>
          <w:iCs/>
        </w:rPr>
        <w:t>Vermeulen</w:t>
      </w:r>
      <w:r w:rsidRPr="00067EB0">
        <w:t>. Nell</w:t>
      </w:r>
      <w:r w:rsidR="00D04C06" w:rsidRPr="00067EB0">
        <w:t>’</w:t>
      </w:r>
      <w:r w:rsidRPr="00067EB0">
        <w:t>ordinanza citata si legge, infatti, che le conclusioni dell</w:t>
      </w:r>
      <w:r w:rsidR="00D04C06" w:rsidRPr="00067EB0">
        <w:t>’</w:t>
      </w:r>
      <w:r w:rsidRPr="00067EB0">
        <w:t xml:space="preserve">A.G. non sono «un parere rivolto ai </w:t>
      </w:r>
      <w:r w:rsidRPr="00067EB0">
        <w:lastRenderedPageBreak/>
        <w:t>giudici o alle parti proveniente da un</w:t>
      </w:r>
      <w:r w:rsidR="00D04C06" w:rsidRPr="00067EB0">
        <w:t>’</w:t>
      </w:r>
      <w:r w:rsidRPr="00067EB0">
        <w:t>autorità esterna alla Corte o che mutuerebbe la propria autorità da quella di un pubblico ministero, bensì dell</w:t>
      </w:r>
      <w:r w:rsidR="00D04C06" w:rsidRPr="00067EB0">
        <w:t>’</w:t>
      </w:r>
      <w:r w:rsidRPr="00067EB0">
        <w:t>opinione individuale, motivata ed espressa pubblicamente, di un membro dell</w:t>
      </w:r>
      <w:r w:rsidR="00D04C06" w:rsidRPr="00067EB0">
        <w:t>’</w:t>
      </w:r>
      <w:r w:rsidRPr="00067EB0">
        <w:t>istituzione stessa»</w:t>
      </w:r>
      <w:r w:rsidR="00557599" w:rsidRPr="00557599">
        <w:rPr>
          <w:rStyle w:val="Rimandonotaapidipagina"/>
        </w:rPr>
        <w:t> </w:t>
      </w:r>
      <w:r w:rsidR="00557599" w:rsidRPr="00557599">
        <w:rPr>
          <w:rStyle w:val="Rimandonotaapidipagina"/>
        </w:rPr>
        <w:footnoteReference w:id="95"/>
      </w:r>
      <w:r w:rsidRPr="00067EB0">
        <w:t>. Ruolo dell</w:t>
      </w:r>
      <w:r w:rsidR="00D04C06" w:rsidRPr="00067EB0">
        <w:t>’</w:t>
      </w:r>
      <w:r w:rsidRPr="00067EB0">
        <w:t>A.G. è, secondo la Corte, quello di partecipare pubblicamente e personalmente al processo di elaborazione della decisione giudiziaria e, di conseguenza, all</w:t>
      </w:r>
      <w:r w:rsidR="00D04C06" w:rsidRPr="00067EB0">
        <w:t>’</w:t>
      </w:r>
      <w:r w:rsidRPr="00067EB0">
        <w:t>esercizio della funzione giurisdizionale affidata alla Corte. In aggiunta, la Corte ha posto l</w:t>
      </w:r>
      <w:r w:rsidR="00D04C06" w:rsidRPr="00067EB0">
        <w:t>’</w:t>
      </w:r>
      <w:r w:rsidRPr="00067EB0">
        <w:t>accento sulla circostanza per cui il principio del contraddittorio sarebbe comunque rispettato, essendo consentito alle parti, in ogni fase della procedura e dunque anche dopo la lettura delle conclusioni, di sottoporre l</w:t>
      </w:r>
      <w:r w:rsidR="00D04C06" w:rsidRPr="00067EB0">
        <w:t>’</w:t>
      </w:r>
      <w:r w:rsidRPr="00067EB0">
        <w:t>esi</w:t>
      </w:r>
      <w:r w:rsidR="00E80D45">
        <w:softHyphen/>
      </w:r>
      <w:r w:rsidRPr="00067EB0">
        <w:t xml:space="preserve">stenza di nuovi elementi e di chiedere la riapertura della fase orale qualora ritenga di non avere sufficienti chiarimenti ovvero qualora ritenga che la causa debba essere decisa anche sulla base di un argomento che non è stato oggetto di discussione tra le parti (art. 83, reg. proc. Corte). </w:t>
      </w:r>
    </w:p>
    <w:p w14:paraId="54E9B2F1" w14:textId="2968A0B6" w:rsidR="00D04C06" w:rsidRPr="00067EB0" w:rsidRDefault="00CC6E33" w:rsidP="00067EB0">
      <w:pPr>
        <w:pStyle w:val="Capoverso"/>
      </w:pPr>
      <w:r w:rsidRPr="00067EB0">
        <w:t>La Corte ha dunque fornito una lettura del testo pattizio, quantomeno ambigua là dove precisa che la Corte di giustizia, «composta da un giudice per Stato membro», è «assistita da avvocati generali» (art. 19 TUE), in maniera tale da evidenziare la compartecipazione dell</w:t>
      </w:r>
      <w:r w:rsidR="00D04C06" w:rsidRPr="00067EB0">
        <w:t>’</w:t>
      </w:r>
      <w:r w:rsidRPr="00067EB0">
        <w:t>A.G. nell</w:t>
      </w:r>
      <w:r w:rsidR="00D04C06" w:rsidRPr="00067EB0">
        <w:t>’</w:t>
      </w:r>
      <w:r w:rsidRPr="00067EB0">
        <w:t xml:space="preserve">esercizio della funzione giurisdizionale </w:t>
      </w:r>
      <w:r w:rsidRPr="00853B2F">
        <w:rPr>
          <w:i/>
        </w:rPr>
        <w:t>come membro della Corte</w:t>
      </w:r>
      <w:r w:rsidRPr="00067EB0">
        <w:t>, sia pure con un ruolo diverso rispetto al collegio giudicante</w:t>
      </w:r>
      <w:r w:rsidR="00EA18BA" w:rsidRPr="00651730">
        <w:rPr>
          <w:vertAlign w:val="superscript"/>
        </w:rPr>
        <w:t> </w:t>
      </w:r>
      <w:r w:rsidR="001F1A74">
        <w:rPr>
          <w:rStyle w:val="Rimandonotaapidipagina"/>
        </w:rPr>
        <w:footnoteReference w:id="96"/>
      </w:r>
      <w:r w:rsidRPr="00067EB0">
        <w:t>.</w:t>
      </w:r>
    </w:p>
    <w:p w14:paraId="6DEB39D6" w14:textId="1558730D" w:rsidR="00CC6E33" w:rsidRPr="00067EB0" w:rsidRDefault="00CC6E33" w:rsidP="00067EB0">
      <w:pPr>
        <w:pStyle w:val="Capoverso"/>
      </w:pPr>
      <w:r w:rsidRPr="00067EB0">
        <w:t>L</w:t>
      </w:r>
      <w:r w:rsidR="00D04C06" w:rsidRPr="00067EB0">
        <w:t>’</w:t>
      </w:r>
      <w:r w:rsidRPr="00067EB0">
        <w:t>art. 252 TFUE, ribadito il ruolo degli A.G., già espresso all</w:t>
      </w:r>
      <w:r w:rsidR="00D04C06" w:rsidRPr="00067EB0">
        <w:t>’</w:t>
      </w:r>
      <w:r w:rsidRPr="00067EB0">
        <w:t xml:space="preserve">art. 19 TUE, di “assistere” la Corte di giustizia, regola in primo luogo </w:t>
      </w:r>
      <w:r w:rsidRPr="00853B2F">
        <w:rPr>
          <w:i/>
          <w:iCs/>
        </w:rPr>
        <w:t>il numero</w:t>
      </w:r>
      <w:r w:rsidRPr="00067EB0">
        <w:t xml:space="preserve"> degli A.G. dinanzi alla Corte, aggiungendo in tal modo un elemento mancante nel testo del citato art. 19. Il numero risultante dal testo del TFUE è quello di otto, con facoltà del Consiglio di deciderne all</w:t>
      </w:r>
      <w:r w:rsidR="00D04C06" w:rsidRPr="00067EB0">
        <w:t>’</w:t>
      </w:r>
      <w:r w:rsidRPr="00067EB0">
        <w:t>unanimità, come di fatto è avvenuto, un aumento.</w:t>
      </w:r>
    </w:p>
    <w:p w14:paraId="7416B4CF" w14:textId="0CFDE1F8" w:rsidR="00CC6E33" w:rsidRPr="00067EB0" w:rsidRDefault="00CC6E33" w:rsidP="00067EB0">
      <w:pPr>
        <w:pStyle w:val="Capoverso"/>
      </w:pPr>
      <w:r w:rsidRPr="00067EB0">
        <w:t>Come disposto dall</w:t>
      </w:r>
      <w:r w:rsidR="00D04C06" w:rsidRPr="00067EB0">
        <w:t>’</w:t>
      </w:r>
      <w:r w:rsidRPr="00067EB0">
        <w:t>art. 253 TFUE, la nomina degli A.G. segue il medesimo sistema già analizzato con riferimento ai giudici della Corte di giustizia</w:t>
      </w:r>
      <w:r w:rsidR="001F1A74">
        <w:t xml:space="preserve"> e del Tribunale</w:t>
      </w:r>
      <w:r w:rsidRPr="00067EB0">
        <w:t>. Quanto alla provenienza degli A.G. dagli Stati membri dell</w:t>
      </w:r>
      <w:r w:rsidR="00D04C06" w:rsidRPr="00067EB0">
        <w:t>’</w:t>
      </w:r>
      <w:r w:rsidRPr="00067EB0">
        <w:t>Unione, essendo il numero degli A.G. da sempre inferiore a quello degli Stati membri</w:t>
      </w:r>
      <w:r w:rsidR="00557599" w:rsidRPr="00557599">
        <w:rPr>
          <w:vertAlign w:val="superscript"/>
        </w:rPr>
        <w:t> </w:t>
      </w:r>
      <w:r w:rsidR="00557599" w:rsidRPr="00557599">
        <w:rPr>
          <w:vertAlign w:val="superscript"/>
        </w:rPr>
        <w:footnoteReference w:id="97"/>
      </w:r>
      <w:r w:rsidRPr="00067EB0">
        <w:t xml:space="preserve"> e non potendosi quindi assicurare una regola equivalente a quella “un </w:t>
      </w:r>
      <w:r w:rsidRPr="00067EB0">
        <w:lastRenderedPageBreak/>
        <w:t>giudice per Stato membro” di cui all</w:t>
      </w:r>
      <w:r w:rsidR="00D04C06" w:rsidRPr="00067EB0">
        <w:t>’</w:t>
      </w:r>
      <w:r w:rsidRPr="00067EB0">
        <w:t>art. 19 TUE, nella prassi si è instaurato un sistema di designazione che – salva la regola della nomina per comune accordo dei Governi degli Stati membri ed i principi di indipendenza ed autonomia – vede oggi la presenza, in ogni caso, di un A.G. indicato dai cinque Stati più grandi (Francia, Germania, Italia, Spagna e Polonia</w:t>
      </w:r>
      <w:r w:rsidR="00557599" w:rsidRPr="00557599">
        <w:rPr>
          <w:rStyle w:val="Rimandonotaapidipagina"/>
        </w:rPr>
        <w:t> </w:t>
      </w:r>
      <w:r w:rsidR="00557599" w:rsidRPr="00557599">
        <w:rPr>
          <w:rStyle w:val="Rimandonotaapidipagina"/>
        </w:rPr>
        <w:footnoteReference w:id="98"/>
      </w:r>
      <w:r w:rsidR="00DC56E2" w:rsidRPr="00DC56E2">
        <w:t>)</w:t>
      </w:r>
      <w:r w:rsidRPr="00067EB0">
        <w:t>, mentre per i posti restanti si applica un criterio di rotazione tra gli altri ventidue Stati.</w:t>
      </w:r>
    </w:p>
    <w:p w14:paraId="262362F6" w14:textId="3D4ADCB6" w:rsidR="00CC6E33" w:rsidRPr="00067EB0" w:rsidRDefault="00CC6E33" w:rsidP="00067EB0">
      <w:pPr>
        <w:pStyle w:val="Capoverso"/>
      </w:pPr>
      <w:r w:rsidRPr="00067EB0">
        <w:t>L</w:t>
      </w:r>
      <w:r w:rsidR="00D04C06" w:rsidRPr="00067EB0">
        <w:t>’</w:t>
      </w:r>
      <w:r w:rsidRPr="00067EB0">
        <w:t xml:space="preserve">aumento del numero degli A.G. può avvenire, su richiesta della Corte di giustizia, con deliberazione unanime del Consiglio. Nella </w:t>
      </w:r>
      <w:r w:rsidRPr="00E651E9">
        <w:rPr>
          <w:i/>
        </w:rPr>
        <w:t>Dichiarazione relativa all</w:t>
      </w:r>
      <w:r w:rsidR="00D04C06" w:rsidRPr="00E651E9">
        <w:rPr>
          <w:i/>
        </w:rPr>
        <w:t>’</w:t>
      </w:r>
      <w:r w:rsidRPr="00E651E9">
        <w:rPr>
          <w:i/>
        </w:rPr>
        <w:t>art. [252] del trattato sul funzionamento dell</w:t>
      </w:r>
      <w:r w:rsidR="00D04C06" w:rsidRPr="00E651E9">
        <w:rPr>
          <w:i/>
        </w:rPr>
        <w:t>’</w:t>
      </w:r>
      <w:r w:rsidRPr="00E651E9">
        <w:rPr>
          <w:i/>
        </w:rPr>
        <w:t>Unione europea concernente il numero di A.G. presso la Corte di giustizia</w:t>
      </w:r>
      <w:r w:rsidRPr="00067EB0">
        <w:t>, allegata al Trattato di Lisbona, veniva prefigurato un incremento del numero, accompagnato per la prima volta da un</w:t>
      </w:r>
      <w:r w:rsidR="00D04C06" w:rsidRPr="00067EB0">
        <w:t>’</w:t>
      </w:r>
      <w:r w:rsidRPr="00067EB0">
        <w:t>indicazione numerica</w:t>
      </w:r>
      <w:r w:rsidR="001F1A74">
        <w:t xml:space="preserve"> (tre in più rispetto agli otto previsti dal Trattato)</w:t>
      </w:r>
      <w:r w:rsidRPr="00067EB0">
        <w:t xml:space="preserve"> e da un vincolo di destinazione geografica</w:t>
      </w:r>
      <w:r w:rsidR="001F1A74">
        <w:t>, nel senso che uno dei tre “nuovi” avvocati generali permanenti avrebbe dovuto essere assegnato alla Polonia. Q</w:t>
      </w:r>
      <w:r w:rsidRPr="00067EB0">
        <w:t xml:space="preserve">uesta previsione ha trovato applicazione concreta con </w:t>
      </w:r>
      <w:r w:rsidR="001F1A74">
        <w:t xml:space="preserve">la </w:t>
      </w:r>
      <w:r w:rsidRPr="00067EB0">
        <w:t>Decisione del Consiglio 2013/336 del 25 giugno 2013. Dunque, attualmente il sistema di rotazione riguarda sei avvocati generali su undici.</w:t>
      </w:r>
    </w:p>
    <w:p w14:paraId="3698314A" w14:textId="1C4D3C28" w:rsidR="00CC6E33" w:rsidRPr="00067EB0" w:rsidRDefault="00CC6E33" w:rsidP="00067EB0">
      <w:pPr>
        <w:pStyle w:val="Capoverso"/>
      </w:pPr>
      <w:r w:rsidRPr="00067EB0">
        <w:t xml:space="preserve">A partire dal 1973, tra gli A.G. la Corte nomina il </w:t>
      </w:r>
      <w:r w:rsidRPr="00853B2F">
        <w:rPr>
          <w:i/>
          <w:iCs/>
        </w:rPr>
        <w:t>primo A.G.</w:t>
      </w:r>
      <w:r w:rsidRPr="00067EB0">
        <w:t xml:space="preserve"> Detta figura, sconosciuta al testo del Trattato e prevista dallo Statuto soltanto nell</w:t>
      </w:r>
      <w:r w:rsidR="00D04C06" w:rsidRPr="00067EB0">
        <w:t>’</w:t>
      </w:r>
      <w:r w:rsidRPr="00067EB0">
        <w:t>art. 62 dedicato al procedimento di riesame delle decisioni del Tribunale, trova un riconoscimento esplicito nel Regolamento di procedura, nel quale vengono contemplate le regole relative alla sua designazione: sono gli (undici) A.G. che, al momento del rinnovo parziale triennale dei membri della Corte di giustizia, eleggono uno di loro come primo A.G. per un periodo di tre anni rinnovabile (art. 14</w:t>
      </w:r>
      <w:r w:rsidR="00156309">
        <w:t xml:space="preserve"> </w:t>
      </w:r>
      <w:r w:rsidRPr="00067EB0">
        <w:t>reg. proc. Corte).</w:t>
      </w:r>
    </w:p>
    <w:p w14:paraId="524386C8" w14:textId="23BB170C" w:rsidR="00D04C06" w:rsidRPr="00A66A0F" w:rsidRDefault="00CC6E33" w:rsidP="00067EB0">
      <w:pPr>
        <w:pStyle w:val="Capoverso"/>
        <w:rPr>
          <w:spacing w:val="-2"/>
        </w:rPr>
      </w:pPr>
      <w:r w:rsidRPr="00A66A0F">
        <w:rPr>
          <w:spacing w:val="-2"/>
        </w:rPr>
        <w:t xml:space="preserve">Il Trattato di Nizza ha modificato anche le funzioni del primo A.G. Se nel sistema precedente, come </w:t>
      </w:r>
      <w:proofErr w:type="spellStart"/>
      <w:r w:rsidRPr="00A66A0F">
        <w:rPr>
          <w:i/>
          <w:spacing w:val="-2"/>
        </w:rPr>
        <w:t>primus</w:t>
      </w:r>
      <w:proofErr w:type="spellEnd"/>
      <w:r w:rsidRPr="00A66A0F">
        <w:rPr>
          <w:i/>
          <w:spacing w:val="-2"/>
        </w:rPr>
        <w:t xml:space="preserve"> inter </w:t>
      </w:r>
      <w:proofErr w:type="spellStart"/>
      <w:r w:rsidRPr="00A66A0F">
        <w:rPr>
          <w:i/>
          <w:spacing w:val="-2"/>
        </w:rPr>
        <w:t>pares</w:t>
      </w:r>
      <w:proofErr w:type="spellEnd"/>
      <w:r w:rsidRPr="00A66A0F">
        <w:rPr>
          <w:spacing w:val="-2"/>
        </w:rPr>
        <w:t>, si limitava alla distribuzione delle cause tra gli A.G. (egli compreso), nonché all</w:t>
      </w:r>
      <w:r w:rsidR="00D04C06" w:rsidRPr="00A66A0F">
        <w:rPr>
          <w:spacing w:val="-2"/>
        </w:rPr>
        <w:t>’</w:t>
      </w:r>
      <w:r w:rsidRPr="00A66A0F">
        <w:rPr>
          <w:spacing w:val="-2"/>
        </w:rPr>
        <w:t>adozione delle misure necessarie in caso di assenza o impedimento dell</w:t>
      </w:r>
      <w:r w:rsidR="00D04C06" w:rsidRPr="00A66A0F">
        <w:rPr>
          <w:spacing w:val="-2"/>
        </w:rPr>
        <w:t>’</w:t>
      </w:r>
      <w:r w:rsidRPr="00A66A0F">
        <w:rPr>
          <w:spacing w:val="-2"/>
        </w:rPr>
        <w:t>A.G. già designato (art. 16 reg. proc. Corte), ora al primo A.G. viene affidato di proporre alla Corte il riesame delle pronunce in via pregiudiziale del Tribunale (art. 256, par. 2, TFUE e art. 193 reg.</w:t>
      </w:r>
      <w:r w:rsidR="00156309" w:rsidRPr="00A66A0F">
        <w:rPr>
          <w:spacing w:val="-2"/>
        </w:rPr>
        <w:t xml:space="preserve"> proc.</w:t>
      </w:r>
      <w:r w:rsidRPr="00A66A0F">
        <w:rPr>
          <w:spacing w:val="-2"/>
        </w:rPr>
        <w:t xml:space="preserve"> Corte), nonché delle decisioni adottate da quest</w:t>
      </w:r>
      <w:r w:rsidR="00D04C06" w:rsidRPr="00A66A0F">
        <w:rPr>
          <w:spacing w:val="-2"/>
        </w:rPr>
        <w:t>’</w:t>
      </w:r>
      <w:r w:rsidRPr="00A66A0F">
        <w:rPr>
          <w:spacing w:val="-2"/>
        </w:rPr>
        <w:t>ultimo in sede d</w:t>
      </w:r>
      <w:r w:rsidR="00D04C06" w:rsidRPr="00A66A0F">
        <w:rPr>
          <w:spacing w:val="-2"/>
        </w:rPr>
        <w:t>’</w:t>
      </w:r>
      <w:r w:rsidRPr="00A66A0F">
        <w:rPr>
          <w:spacing w:val="-2"/>
        </w:rPr>
        <w:t>appello rispetto alle sentenze dei tribunali specializzati (art. 256, par. 3, TFUE e art. 194, nuovo reg. proc. Corte), in entrambi i casi «ove sussistano gravi rischi che l</w:t>
      </w:r>
      <w:r w:rsidR="00D04C06" w:rsidRPr="00A66A0F">
        <w:rPr>
          <w:spacing w:val="-2"/>
        </w:rPr>
        <w:t>’</w:t>
      </w:r>
      <w:r w:rsidRPr="00A66A0F">
        <w:rPr>
          <w:spacing w:val="-2"/>
        </w:rPr>
        <w:t>unità o la coerenza del diritto dell</w:t>
      </w:r>
      <w:r w:rsidR="00D04C06" w:rsidRPr="00A66A0F">
        <w:rPr>
          <w:spacing w:val="-2"/>
        </w:rPr>
        <w:t>’</w:t>
      </w:r>
      <w:r w:rsidRPr="00A66A0F">
        <w:rPr>
          <w:spacing w:val="-2"/>
        </w:rPr>
        <w:t xml:space="preserve">Unione siano compromesse». La prima di </w:t>
      </w:r>
      <w:r w:rsidRPr="00A66A0F">
        <w:rPr>
          <w:spacing w:val="-2"/>
        </w:rPr>
        <w:lastRenderedPageBreak/>
        <w:t>queste funzioni, rimasta per lungo tempo sulla carta, è ora divenuta attuale a seguito della devoluzione di parte della competenza pregiudiziale al Tribunale, mentre la seconda è ora inattiva non essendo operante alcun tribunale specializzato.</w:t>
      </w:r>
    </w:p>
    <w:p w14:paraId="45BF3B11" w14:textId="387DF0C4" w:rsidR="00CC6E33" w:rsidRPr="00A66A0F" w:rsidRDefault="00CC6E33" w:rsidP="00067EB0">
      <w:pPr>
        <w:pStyle w:val="Capoverso"/>
        <w:rPr>
          <w:spacing w:val="-2"/>
        </w:rPr>
      </w:pPr>
      <w:r w:rsidRPr="00A66A0F">
        <w:rPr>
          <w:spacing w:val="-2"/>
        </w:rPr>
        <w:t>La distribuzione delle cause tra gli A.G. avviene subito dopo la designazione del giudice relatore da parte del Presidente della Corte (art. 16, par. 1, reg. proc. Corte) e riguarda tutte le cause che arrivano alla cancelleria della Corte, che si tratti di cause pregiudiziali o di ricorsi diretti. Essa segue criteri non codificati: per motivi di opportunità, a volte si prende in considerazione la nazionalità del</w:t>
      </w:r>
      <w:r w:rsidR="00E80D45" w:rsidRPr="00A66A0F">
        <w:rPr>
          <w:spacing w:val="-2"/>
        </w:rPr>
        <w:softHyphen/>
      </w:r>
      <w:r w:rsidRPr="00A66A0F">
        <w:rPr>
          <w:spacing w:val="-2"/>
        </w:rPr>
        <w:t>l</w:t>
      </w:r>
      <w:r w:rsidR="00D04C06" w:rsidRPr="00A66A0F">
        <w:rPr>
          <w:spacing w:val="-2"/>
        </w:rPr>
        <w:t>’</w:t>
      </w:r>
      <w:r w:rsidRPr="00A66A0F">
        <w:rPr>
          <w:spacing w:val="-2"/>
        </w:rPr>
        <w:t xml:space="preserve">A.G., e ciò sia in negativo, qualora si tratti di controversie di cui è parte lo Stato di origine ovvero cause pregiudiziali provenienti dal medesimo Stato membro, sia in positivo, rispetto alle controversie oggetto di un compromesso o di una clausola compromissoria </w:t>
      </w:r>
      <w:r w:rsidRPr="00A66A0F">
        <w:rPr>
          <w:i/>
          <w:iCs/>
          <w:spacing w:val="-2"/>
        </w:rPr>
        <w:t>ex</w:t>
      </w:r>
      <w:r w:rsidRPr="00A66A0F">
        <w:rPr>
          <w:spacing w:val="-2"/>
        </w:rPr>
        <w:t xml:space="preserve"> art. 272, per le quali si ritiene utile coinvolgere l</w:t>
      </w:r>
      <w:r w:rsidR="00D04C06" w:rsidRPr="00A66A0F">
        <w:rPr>
          <w:spacing w:val="-2"/>
        </w:rPr>
        <w:t>’</w:t>
      </w:r>
      <w:r w:rsidRPr="00A66A0F">
        <w:rPr>
          <w:spacing w:val="-2"/>
        </w:rPr>
        <w:t xml:space="preserve">A.G. che ha diretta conoscenza della legge applicabile al contratto in questione. </w:t>
      </w:r>
    </w:p>
    <w:p w14:paraId="5449C342" w14:textId="13E67468" w:rsidR="00CC6E33" w:rsidRPr="00A66A0F" w:rsidRDefault="00CC6E33" w:rsidP="00067EB0">
      <w:pPr>
        <w:pStyle w:val="Capoverso"/>
        <w:rPr>
          <w:spacing w:val="-2"/>
        </w:rPr>
      </w:pPr>
      <w:r w:rsidRPr="00A66A0F">
        <w:rPr>
          <w:spacing w:val="-2"/>
        </w:rPr>
        <w:t>Diversi sono i compiti dell</w:t>
      </w:r>
      <w:r w:rsidR="00D04C06" w:rsidRPr="00A66A0F">
        <w:rPr>
          <w:spacing w:val="-2"/>
        </w:rPr>
        <w:t>’</w:t>
      </w:r>
      <w:r w:rsidRPr="00A66A0F">
        <w:rPr>
          <w:spacing w:val="-2"/>
        </w:rPr>
        <w:t>A.G., comunque riconducibili alla sua funzione di assistere la Corte nella definizione delle cause nonché di collaborare nello svolgimento di compiti di rilievo organizzativo ed amministrativo. La funzione più delicata ed importante, non a caso unica citata dall</w:t>
      </w:r>
      <w:r w:rsidR="00D04C06" w:rsidRPr="00A66A0F">
        <w:rPr>
          <w:spacing w:val="-2"/>
        </w:rPr>
        <w:t>’</w:t>
      </w:r>
      <w:r w:rsidRPr="00A66A0F">
        <w:rPr>
          <w:spacing w:val="-2"/>
        </w:rPr>
        <w:t xml:space="preserve">art. 252 TFUE, è quella di «presentare pubblicamente, con assoluta imparzialità e in piena indipendenza, conclusioni motivate». Le </w:t>
      </w:r>
      <w:r w:rsidRPr="00A66A0F">
        <w:rPr>
          <w:i/>
          <w:spacing w:val="-2"/>
        </w:rPr>
        <w:t>conclusioni dell</w:t>
      </w:r>
      <w:r w:rsidR="00D04C06" w:rsidRPr="00A66A0F">
        <w:rPr>
          <w:i/>
          <w:spacing w:val="-2"/>
        </w:rPr>
        <w:t>’</w:t>
      </w:r>
      <w:r w:rsidRPr="00A66A0F">
        <w:rPr>
          <w:i/>
          <w:spacing w:val="-2"/>
        </w:rPr>
        <w:t>A.G.</w:t>
      </w:r>
      <w:r w:rsidRPr="00A66A0F">
        <w:rPr>
          <w:spacing w:val="-2"/>
        </w:rPr>
        <w:t xml:space="preserve"> si concretano nella presa di posizione, in assoluta indipendenza dalle parti nella controversia e dagli altri soggetti operanti nel sistema unionale (soprattutto dagli Stati membri e dalle altre istituzioni), rispetto alla soluzione di ogni causa sottoposta all</w:t>
      </w:r>
      <w:r w:rsidR="00D04C06" w:rsidRPr="00A66A0F">
        <w:rPr>
          <w:spacing w:val="-2"/>
        </w:rPr>
        <w:t>’</w:t>
      </w:r>
      <w:r w:rsidRPr="00A66A0F">
        <w:rPr>
          <w:spacing w:val="-2"/>
        </w:rPr>
        <w:t>esame della Corte di giustizia in cui è richiesto il suo intervento. I motivi della scelta, operata dai redattori del Trattato, di prevedere la partecipazione di un A.G. al procedimento di definizione delle cause sono stati rinvenuti anche nel</w:t>
      </w:r>
      <w:r w:rsidR="00A66A0F" w:rsidRPr="00A66A0F">
        <w:rPr>
          <w:spacing w:val="-2"/>
        </w:rPr>
        <w:softHyphen/>
      </w:r>
      <w:r w:rsidRPr="00A66A0F">
        <w:rPr>
          <w:spacing w:val="-2"/>
        </w:rPr>
        <w:t>l</w:t>
      </w:r>
      <w:r w:rsidR="00D04C06" w:rsidRPr="00A66A0F">
        <w:rPr>
          <w:spacing w:val="-2"/>
        </w:rPr>
        <w:t>’</w:t>
      </w:r>
      <w:r w:rsidRPr="00A66A0F">
        <w:rPr>
          <w:spacing w:val="-2"/>
        </w:rPr>
        <w:t>op</w:t>
      </w:r>
      <w:r w:rsidR="00A66A0F" w:rsidRPr="00A66A0F">
        <w:rPr>
          <w:spacing w:val="-2"/>
        </w:rPr>
        <w:softHyphen/>
      </w:r>
      <w:r w:rsidRPr="00A66A0F">
        <w:rPr>
          <w:spacing w:val="-2"/>
        </w:rPr>
        <w:t>por</w:t>
      </w:r>
      <w:r w:rsidR="00A66A0F" w:rsidRPr="00A66A0F">
        <w:rPr>
          <w:spacing w:val="-2"/>
        </w:rPr>
        <w:softHyphen/>
      </w:r>
      <w:r w:rsidRPr="00A66A0F">
        <w:rPr>
          <w:spacing w:val="-2"/>
        </w:rPr>
        <w:t>tunità di presentare all</w:t>
      </w:r>
      <w:r w:rsidR="00D04C06" w:rsidRPr="00A66A0F">
        <w:rPr>
          <w:spacing w:val="-2"/>
        </w:rPr>
        <w:t>’</w:t>
      </w:r>
      <w:r w:rsidRPr="00A66A0F">
        <w:rPr>
          <w:spacing w:val="-2"/>
        </w:rPr>
        <w:t xml:space="preserve">esterno un punto di vista indipendente ed autorevole sulle controversie oggetto di intervento della Corte, in mancanza della possibilità per i giudici di esprimere una </w:t>
      </w:r>
      <w:proofErr w:type="spellStart"/>
      <w:r w:rsidRPr="00A66A0F">
        <w:rPr>
          <w:i/>
          <w:iCs/>
          <w:spacing w:val="-2"/>
        </w:rPr>
        <w:t>dissenting</w:t>
      </w:r>
      <w:proofErr w:type="spellEnd"/>
      <w:r w:rsidRPr="00A66A0F">
        <w:rPr>
          <w:i/>
          <w:iCs/>
          <w:spacing w:val="-2"/>
        </w:rPr>
        <w:t xml:space="preserve"> opinion</w:t>
      </w:r>
      <w:r w:rsidRPr="00A66A0F">
        <w:rPr>
          <w:spacing w:val="-2"/>
        </w:rPr>
        <w:t xml:space="preserve"> rispetto a quella della maggioranza.</w:t>
      </w:r>
    </w:p>
    <w:p w14:paraId="2CD48AC7" w14:textId="4BF4A5C1" w:rsidR="00CC6E33" w:rsidRPr="00067EB0" w:rsidRDefault="00CC6E33" w:rsidP="00A66A0F">
      <w:pPr>
        <w:pStyle w:val="Capoverso"/>
        <w:spacing w:line="250" w:lineRule="exact"/>
      </w:pPr>
      <w:r w:rsidRPr="00067EB0">
        <w:t>Se in precedenza la presentazione delle conclusioni dell</w:t>
      </w:r>
      <w:r w:rsidR="00D04C06" w:rsidRPr="00067EB0">
        <w:t>’</w:t>
      </w:r>
      <w:r w:rsidRPr="00067EB0">
        <w:t xml:space="preserve">A.G. era un passaggio obbligato nella procedura dinanzi alla Corte di giustizia per tutte le cause, </w:t>
      </w:r>
      <w:r w:rsidR="001F1A74">
        <w:t>l’art</w:t>
      </w:r>
      <w:r w:rsidR="00FE386A">
        <w:t>.</w:t>
      </w:r>
      <w:r w:rsidR="001F1A74">
        <w:t xml:space="preserve"> 252, secondo comma, TFUE</w:t>
      </w:r>
      <w:r w:rsidRPr="00067EB0">
        <w:t xml:space="preserve"> prevede ora che le conclusioni siano presentate soltanto «sulle cause che, conformemente allo Statuto della Corte di giustizia, richiedono il suo intervento». A sua volta, il nuovo testo dello Statuto, al</w:t>
      </w:r>
      <w:r w:rsidR="00476F21">
        <w:softHyphen/>
      </w:r>
      <w:r w:rsidRPr="00067EB0">
        <w:t>l</w:t>
      </w:r>
      <w:r w:rsidR="00D04C06" w:rsidRPr="00067EB0">
        <w:t>’</w:t>
      </w:r>
      <w:r w:rsidRPr="00067EB0">
        <w:t>art. 20, par. 5, prevede che la Corte possa, sentito l</w:t>
      </w:r>
      <w:r w:rsidR="00D04C06" w:rsidRPr="00067EB0">
        <w:t>’</w:t>
      </w:r>
      <w:r w:rsidRPr="00067EB0">
        <w:t>A.G., escludere la fase delle conclusioni qualora ritenga che la causa non presenti nuovi punti di diritto. La decisione in merito alla necessità o meno della presentazione delle conclusioni viene assunta dalla Corte nella riunione generale, su proposta del giudice relatore, sentito l</w:t>
      </w:r>
      <w:r w:rsidR="00D04C06" w:rsidRPr="00067EB0">
        <w:t>’</w:t>
      </w:r>
      <w:r w:rsidRPr="00067EB0">
        <w:t xml:space="preserve">A.G. (art. 59, </w:t>
      </w:r>
      <w:proofErr w:type="spellStart"/>
      <w:r w:rsidRPr="00067EB0">
        <w:t>parr</w:t>
      </w:r>
      <w:proofErr w:type="spellEnd"/>
      <w:r w:rsidRPr="00067EB0">
        <w:t>. 2 e 3, reg. proc. Corte). In ragione di queste modifiche, come si diceva, le conclusioni dell</w:t>
      </w:r>
      <w:r w:rsidR="00D04C06" w:rsidRPr="00067EB0">
        <w:t>’</w:t>
      </w:r>
      <w:r w:rsidRPr="00067EB0">
        <w:t xml:space="preserve">A.G. sono diventate una fase eventuale e non necessaria nel procedimento dinanzi alla </w:t>
      </w:r>
      <w:r w:rsidRPr="00067EB0">
        <w:lastRenderedPageBreak/>
        <w:t>Corte di giustizia, con il vantaggio di ridurre i tempi di giustizia e di concentrare il lavoro dei pochi A.G. sull</w:t>
      </w:r>
      <w:r w:rsidR="00D04C06" w:rsidRPr="00067EB0">
        <w:t>’</w:t>
      </w:r>
      <w:r w:rsidRPr="00067EB0">
        <w:t>analisi delle controversie maggiormente significative. Nella prassi la Corte ritiene utile ricorrere alle conclusioni dell</w:t>
      </w:r>
      <w:r w:rsidR="00D04C06" w:rsidRPr="00067EB0">
        <w:t>’</w:t>
      </w:r>
      <w:r w:rsidRPr="00067EB0">
        <w:t>A.G. in meno della metà circa delle cause ad essa sottoposte.</w:t>
      </w:r>
    </w:p>
    <w:p w14:paraId="3EE94407" w14:textId="01704E40" w:rsidR="00D04C06" w:rsidRPr="00067EB0" w:rsidRDefault="00CC6E33" w:rsidP="00A66A0F">
      <w:pPr>
        <w:pStyle w:val="Capoverso"/>
        <w:spacing w:line="250" w:lineRule="exact"/>
      </w:pPr>
      <w:r w:rsidRPr="00067EB0">
        <w:t>Le conclusioni dell</w:t>
      </w:r>
      <w:r w:rsidR="00D04C06" w:rsidRPr="00067EB0">
        <w:t>’</w:t>
      </w:r>
      <w:r w:rsidRPr="00067EB0">
        <w:t>A.G. concludono la fase orale della procedura dinanzi alla Corte (art. 20, Statuto; art. 82 reg. proc. Corte) e sono pronunciate in udienza, solitamente distinta (successiva di almeno un mese) da quella di discussione orale della causa. La lettura delle conclusioni, limitata da anni al solo testo del dispositivo, introduce la fase della deliberazione, alla quale l</w:t>
      </w:r>
      <w:r w:rsidR="00D04C06" w:rsidRPr="00067EB0">
        <w:t>’</w:t>
      </w:r>
      <w:r w:rsidRPr="00067EB0">
        <w:t xml:space="preserve">A.G. non partecipa in alcun modo in quanto riservata ai giudici che fanno parte della formazione competente per la singola causa. </w:t>
      </w:r>
    </w:p>
    <w:p w14:paraId="5EAF449F" w14:textId="5D31CE36" w:rsidR="00CC6E33" w:rsidRPr="00E80D45" w:rsidRDefault="00CC6E33" w:rsidP="00067EB0">
      <w:pPr>
        <w:pStyle w:val="Capoverso"/>
        <w:rPr>
          <w:spacing w:val="-1"/>
        </w:rPr>
      </w:pPr>
      <w:r w:rsidRPr="00E80D45">
        <w:rPr>
          <w:spacing w:val="-1"/>
        </w:rPr>
        <w:t>Anche dopo la lettura in pubblica udienza delle conclusioni la Corte può, eccezionalmente, per i motivi indicati all</w:t>
      </w:r>
      <w:r w:rsidR="00D04C06" w:rsidRPr="00E80D45">
        <w:rPr>
          <w:spacing w:val="-1"/>
        </w:rPr>
        <w:t>’</w:t>
      </w:r>
      <w:r w:rsidRPr="00E80D45">
        <w:rPr>
          <w:spacing w:val="-1"/>
        </w:rPr>
        <w:t xml:space="preserve">art. 83 reg. proc. Corte, disporre la </w:t>
      </w:r>
      <w:r w:rsidRPr="00E80D45">
        <w:rPr>
          <w:i/>
          <w:spacing w:val="-1"/>
        </w:rPr>
        <w:t>riapertura della fase orale</w:t>
      </w:r>
      <w:r w:rsidRPr="00E80D45">
        <w:rPr>
          <w:spacing w:val="-1"/>
        </w:rPr>
        <w:t>. Si tratta dell</w:t>
      </w:r>
      <w:r w:rsidR="00D04C06" w:rsidRPr="00E80D45">
        <w:rPr>
          <w:spacing w:val="-1"/>
        </w:rPr>
        <w:t>’</w:t>
      </w:r>
      <w:r w:rsidRPr="00E80D45">
        <w:rPr>
          <w:spacing w:val="-1"/>
        </w:rPr>
        <w:t xml:space="preserve">unica possibilità messa a disposizione delle parti di </w:t>
      </w:r>
      <w:r w:rsidRPr="00E80D45">
        <w:rPr>
          <w:i/>
          <w:spacing w:val="-1"/>
        </w:rPr>
        <w:t>replicare</w:t>
      </w:r>
      <w:r w:rsidRPr="00E80D45">
        <w:rPr>
          <w:spacing w:val="-1"/>
        </w:rPr>
        <w:t xml:space="preserve"> alle conclusioni dell</w:t>
      </w:r>
      <w:r w:rsidR="00D04C06" w:rsidRPr="00E80D45">
        <w:rPr>
          <w:spacing w:val="-1"/>
        </w:rPr>
        <w:t>’</w:t>
      </w:r>
      <w:r w:rsidRPr="00E80D45">
        <w:rPr>
          <w:spacing w:val="-1"/>
        </w:rPr>
        <w:t>A.G. Nella grande maggioranza dei casi, le richieste di riapertura non vengono accolte</w:t>
      </w:r>
      <w:r w:rsidR="00557599" w:rsidRPr="00E80D45">
        <w:rPr>
          <w:spacing w:val="-1"/>
          <w:vertAlign w:val="superscript"/>
        </w:rPr>
        <w:t> </w:t>
      </w:r>
      <w:r w:rsidR="00557599" w:rsidRPr="00E80D45">
        <w:rPr>
          <w:spacing w:val="-1"/>
          <w:vertAlign w:val="superscript"/>
        </w:rPr>
        <w:footnoteReference w:id="99"/>
      </w:r>
      <w:r w:rsidRPr="00E80D45">
        <w:rPr>
          <w:spacing w:val="-1"/>
        </w:rPr>
        <w:t>. In particolare, la Corte ha precisato che il disaccordo di un interessato con le conclusioni del</w:t>
      </w:r>
      <w:r w:rsidR="00E80D45">
        <w:rPr>
          <w:spacing w:val="-1"/>
        </w:rPr>
        <w:softHyphen/>
      </w:r>
      <w:r w:rsidRPr="00E80D45">
        <w:rPr>
          <w:spacing w:val="-1"/>
        </w:rPr>
        <w:t>l</w:t>
      </w:r>
      <w:r w:rsidR="00D04C06" w:rsidRPr="00E80D45">
        <w:rPr>
          <w:spacing w:val="-1"/>
        </w:rPr>
        <w:t>’</w:t>
      </w:r>
      <w:r w:rsidRPr="00E80D45">
        <w:rPr>
          <w:spacing w:val="-1"/>
        </w:rPr>
        <w:t>A.G., qualunque siano le questioni da esso esaminate, non può costituire, di per sé, un motivo che giustifichi la</w:t>
      </w:r>
      <w:r w:rsidR="00704DFF" w:rsidRPr="00E80D45">
        <w:rPr>
          <w:spacing w:val="-1"/>
        </w:rPr>
        <w:t xml:space="preserve"> </w:t>
      </w:r>
      <w:bookmarkStart w:id="5" w:name="ctx4"/>
      <w:r w:rsidRPr="00E80D45">
        <w:rPr>
          <w:spacing w:val="-1"/>
        </w:rPr>
        <w:t>riapertura</w:t>
      </w:r>
      <w:bookmarkEnd w:id="5"/>
      <w:r w:rsidR="00704DFF" w:rsidRPr="00E80D45">
        <w:rPr>
          <w:spacing w:val="-1"/>
        </w:rPr>
        <w:t xml:space="preserve"> </w:t>
      </w:r>
      <w:r w:rsidRPr="00E80D45">
        <w:rPr>
          <w:spacing w:val="-1"/>
        </w:rPr>
        <w:t>della fase orale</w:t>
      </w:r>
      <w:r w:rsidR="00557599" w:rsidRPr="00E80D45">
        <w:rPr>
          <w:rStyle w:val="Rimandonotaapidipagina"/>
          <w:spacing w:val="-1"/>
        </w:rPr>
        <w:t> </w:t>
      </w:r>
      <w:r w:rsidR="00557599" w:rsidRPr="00E80D45">
        <w:rPr>
          <w:rStyle w:val="Rimandonotaapidipagina"/>
          <w:spacing w:val="-1"/>
        </w:rPr>
        <w:footnoteReference w:id="100"/>
      </w:r>
      <w:r w:rsidRPr="00E80D45">
        <w:rPr>
          <w:spacing w:val="-1"/>
        </w:rPr>
        <w:t>. Nell</w:t>
      </w:r>
      <w:r w:rsidR="00D04C06" w:rsidRPr="00E80D45">
        <w:rPr>
          <w:spacing w:val="-1"/>
        </w:rPr>
        <w:t>’</w:t>
      </w:r>
      <w:r w:rsidRPr="00E80D45">
        <w:rPr>
          <w:spacing w:val="-1"/>
        </w:rPr>
        <w:t>ipotesi contraria, la riapertura della fase orale richiederà all</w:t>
      </w:r>
      <w:r w:rsidR="00D04C06" w:rsidRPr="00E80D45">
        <w:rPr>
          <w:spacing w:val="-1"/>
        </w:rPr>
        <w:t>’</w:t>
      </w:r>
      <w:r w:rsidRPr="00E80D45">
        <w:rPr>
          <w:spacing w:val="-1"/>
        </w:rPr>
        <w:t>A.G. (di solito diverso da quello che ha redatto la precedente versione) di ripresentare le conclusioni</w:t>
      </w:r>
      <w:r w:rsidR="00557599" w:rsidRPr="00E80D45">
        <w:rPr>
          <w:rStyle w:val="Rimandonotaapidipagina"/>
          <w:spacing w:val="-1"/>
        </w:rPr>
        <w:t> </w:t>
      </w:r>
      <w:r w:rsidR="00557599" w:rsidRPr="00E80D45">
        <w:rPr>
          <w:rStyle w:val="Rimandonotaapidipagina"/>
          <w:spacing w:val="-1"/>
        </w:rPr>
        <w:footnoteReference w:id="101"/>
      </w:r>
      <w:r w:rsidRPr="00E80D45">
        <w:rPr>
          <w:spacing w:val="-1"/>
        </w:rPr>
        <w:t>.</w:t>
      </w:r>
    </w:p>
    <w:p w14:paraId="04E87097" w14:textId="61288210" w:rsidR="00CC6E33" w:rsidRPr="00067EB0" w:rsidRDefault="00CC6E33" w:rsidP="00067EB0">
      <w:pPr>
        <w:pStyle w:val="Capoverso"/>
      </w:pPr>
      <w:r w:rsidRPr="00067EB0">
        <w:t xml:space="preserve">Rispetto al loro contenuto, il Trattato si limita ad indicare che </w:t>
      </w:r>
      <w:r w:rsidR="00352F17">
        <w:t xml:space="preserve">le conclusioni </w:t>
      </w:r>
      <w:r w:rsidRPr="00067EB0">
        <w:t>devono essere «motivate». Nella prassi, trattandosi di cause “selezionate” in ragione della loro importanza, la proposta di decisione della controversia è fondata su una analisi approfondita delle implicazioni giuridiche del caso e viene supportata da un</w:t>
      </w:r>
      <w:r w:rsidR="00D04C06" w:rsidRPr="00067EB0">
        <w:t>’</w:t>
      </w:r>
      <w:r w:rsidRPr="00067EB0">
        <w:t>e</w:t>
      </w:r>
      <w:r w:rsidR="00E80D45">
        <w:softHyphen/>
      </w:r>
      <w:r w:rsidRPr="00067EB0">
        <w:t>sposizione dettagliata della posizione delle parti, della normativa rilevante nonché dei precedenti rinvenibili nella giurisprudenza della Corte. In definitiva, il ruolo di «assistere» la Corte viene svolto fornendo a quest</w:t>
      </w:r>
      <w:r w:rsidR="00D04C06" w:rsidRPr="00067EB0">
        <w:t>’</w:t>
      </w:r>
      <w:r w:rsidRPr="00067EB0">
        <w:t xml:space="preserve">ultima argomenti sufficienti per facilitare la decisione della causa. </w:t>
      </w:r>
    </w:p>
    <w:p w14:paraId="4430F715" w14:textId="43E99FB3" w:rsidR="00D04C06" w:rsidRPr="00067EB0" w:rsidRDefault="00CC6E33" w:rsidP="00D15290">
      <w:pPr>
        <w:pStyle w:val="Capoverso"/>
      </w:pPr>
      <w:r w:rsidRPr="00067EB0">
        <w:t>Le conclusioni dell</w:t>
      </w:r>
      <w:r w:rsidR="00D04C06" w:rsidRPr="00067EB0">
        <w:t>’</w:t>
      </w:r>
      <w:r w:rsidRPr="00067EB0">
        <w:t>A.G., pur non vincolando la Corte</w:t>
      </w:r>
      <w:r w:rsidR="00557599" w:rsidRPr="00557599">
        <w:rPr>
          <w:rStyle w:val="Rimandonotaapidipagina"/>
        </w:rPr>
        <w:t> </w:t>
      </w:r>
      <w:r w:rsidR="00557599" w:rsidRPr="00557599">
        <w:rPr>
          <w:rStyle w:val="Rimandonotaapidipagina"/>
        </w:rPr>
        <w:footnoteReference w:id="102"/>
      </w:r>
      <w:r w:rsidRPr="00067EB0">
        <w:t>, possiedono una grande autorevolezza e costituiscono, per gli studiosi e per i pratici, una pre</w:t>
      </w:r>
      <w:r w:rsidRPr="00067EB0">
        <w:lastRenderedPageBreak/>
        <w:t>ziosa fonte di spunti critici e di informazioni. Quando sono «seguite» dalla Corte, il che avviene nella grande maggioranza dei casi, risultano estremamente utili per comprendere a pieno il cammino argomentativo della decisione finale, spesso caratterizzata</w:t>
      </w:r>
      <w:r w:rsidR="00D15290">
        <w:t xml:space="preserve"> da un</w:t>
      </w:r>
      <w:r w:rsidR="00F9613A">
        <w:t>a</w:t>
      </w:r>
      <w:r w:rsidR="00D15290">
        <w:t xml:space="preserve"> certa</w:t>
      </w:r>
      <w:r w:rsidRPr="00067EB0">
        <w:t xml:space="preserve"> stringatezza. Non sono rari i casi in cui la Corte, quando concorda con i suggerimenti dell</w:t>
      </w:r>
      <w:r w:rsidR="00D04C06" w:rsidRPr="00067EB0">
        <w:t>’</w:t>
      </w:r>
      <w:r w:rsidRPr="00067EB0">
        <w:t>A.G., opera nella sentenza un riferimento alle conclusioni a supporto delle proprie soluzioni. Qualora, per contro, la Corte decida di “non seguire” le conclusioni, quindi di decidere la causa in maniera parzialmente o totalmente divergente dalla proposta dell</w:t>
      </w:r>
      <w:r w:rsidR="00D04C06" w:rsidRPr="00067EB0">
        <w:t>’</w:t>
      </w:r>
      <w:r w:rsidRPr="00067EB0">
        <w:t>A.G., di ciò non risulta traccia nel testo della sentenza, che non opera alcun richiamo alla posizione espressa dall</w:t>
      </w:r>
      <w:r w:rsidR="00D04C06" w:rsidRPr="00067EB0">
        <w:t>’</w:t>
      </w:r>
      <w:r w:rsidRPr="00067EB0">
        <w:t>A.G. Lo stesso avviene nelle ipotesi in cui la Corte, per svariati motivi, non ritenga necessario pronunciarsi su alcuni aspetti della controversia, ad esempio in quanto ha sposato una soluzione in rito o di merito che rende inutile l</w:t>
      </w:r>
      <w:r w:rsidR="00D04C06" w:rsidRPr="00067EB0">
        <w:t>’</w:t>
      </w:r>
      <w:r w:rsidRPr="00067EB0">
        <w:t>approfondimento delle altre. Anche in questi casi, tuttavia, le conclusioni mantengono un</w:t>
      </w:r>
      <w:r w:rsidR="00D04C06" w:rsidRPr="00067EB0">
        <w:t>’</w:t>
      </w:r>
      <w:r w:rsidRPr="00067EB0">
        <w:t>autonoma rilevanza e vengono, spesso, citate dalle parti o dagli A.G. in successive cause, anche al fine di suggerire un</w:t>
      </w:r>
      <w:r w:rsidRPr="00853B2F">
        <w:rPr>
          <w:i/>
          <w:iCs/>
        </w:rPr>
        <w:t xml:space="preserve"> revirement</w:t>
      </w:r>
      <w:r w:rsidRPr="00067EB0">
        <w:t xml:space="preserve"> della precedente giurisprudenza della Corte</w:t>
      </w:r>
      <w:r w:rsidR="00557599" w:rsidRPr="00557599">
        <w:rPr>
          <w:rStyle w:val="Rimandonotaapidipagina"/>
        </w:rPr>
        <w:t> </w:t>
      </w:r>
      <w:r w:rsidR="00557599" w:rsidRPr="00557599">
        <w:rPr>
          <w:rStyle w:val="Rimandonotaapidipagina"/>
        </w:rPr>
        <w:footnoteReference w:id="103"/>
      </w:r>
      <w:r w:rsidRPr="00067EB0">
        <w:t>.</w:t>
      </w:r>
      <w:r w:rsidR="00A66A0F">
        <w:t xml:space="preserve"> </w:t>
      </w:r>
    </w:p>
    <w:p w14:paraId="38841C29" w14:textId="19CEFCDB" w:rsidR="00CC6E33" w:rsidRPr="00067EB0" w:rsidRDefault="00CC6E33" w:rsidP="00067EB0">
      <w:pPr>
        <w:pStyle w:val="Capoverso"/>
      </w:pPr>
      <w:r w:rsidRPr="00067EB0">
        <w:t>Le funzioni dell</w:t>
      </w:r>
      <w:r w:rsidR="00D04C06" w:rsidRPr="00067EB0">
        <w:t>’</w:t>
      </w:r>
      <w:r w:rsidRPr="00067EB0">
        <w:t xml:space="preserve">A.G. </w:t>
      </w:r>
      <w:r w:rsidRPr="00853B2F">
        <w:rPr>
          <w:i/>
        </w:rPr>
        <w:t>diverse</w:t>
      </w:r>
      <w:r w:rsidRPr="00067EB0">
        <w:t xml:space="preserve"> dalla presentazione delle conclusioni, a motivo della loro eterogeneità, sono difficilmente inquadrabili in categorie predefinite. Può essere utile distinguerle a seconda che si tratti di funzioni attribuite all</w:t>
      </w:r>
      <w:r w:rsidR="00D04C06" w:rsidRPr="00067EB0">
        <w:t>’</w:t>
      </w:r>
      <w:r w:rsidRPr="00067EB0">
        <w:t>inte</w:t>
      </w:r>
      <w:r w:rsidR="00E80D45">
        <w:softHyphen/>
      </w:r>
      <w:r w:rsidRPr="00067EB0">
        <w:t>ro collegio degli A.G., ovvero al singolo A.G. incaricato di una causa in corso dinanzi alla Corte. Per quel che concerne le funzioni attribuite a tutti gli A.G., va citata la disposizione dello Statuto (art. 6) che prevede la loro congiunta partecipazione alla procedura di deliberazione della destituzione di un giudice o di un A.G. in ragione della sopravvenuta perdita del possesso dei requisiti previsti dal Trattato per la nomina ovvero di violazione degli obblighi derivanti dalla carica. Il Regolamento di procedura prevede poi, all</w:t>
      </w:r>
      <w:r w:rsidR="00D04C06" w:rsidRPr="00067EB0">
        <w:t>’</w:t>
      </w:r>
      <w:r w:rsidRPr="00067EB0">
        <w:t xml:space="preserve">art. 25, che tutti gli A.G. partecipino con diritto di voto alla riunione generale della Corte, che si svolge ogni settimana allo scopo di assumere decisioni vertenti in materia amministrativa nonché di adottare, alla fine della procedura scritta, provvedimenti in merito alle proposte formulate dal giudice relatore rispetto alle singole cause: distribuire le cause tra le sezioni, decidere sui </w:t>
      </w:r>
      <w:r w:rsidRPr="00067EB0">
        <w:lastRenderedPageBreak/>
        <w:t>mezzi istruttori nonché fissare la data per la procedura orale. Va infine segnalato che, se in base alla precedente versione del reg. proc. tutti gli A.G. dovevano essere sentiti nel procedimento che porta la Corte all</w:t>
      </w:r>
      <w:r w:rsidR="00D04C06" w:rsidRPr="00067EB0">
        <w:t>’</w:t>
      </w:r>
      <w:r w:rsidRPr="00067EB0">
        <w:t xml:space="preserve">adozione di un parere in materia di conclusione di accordi internazionali </w:t>
      </w:r>
      <w:r w:rsidRPr="00853B2F">
        <w:rPr>
          <w:i/>
          <w:iCs/>
        </w:rPr>
        <w:t>ex</w:t>
      </w:r>
      <w:r w:rsidRPr="00067EB0">
        <w:t xml:space="preserve"> art. 218, par. 11</w:t>
      </w:r>
      <w:r w:rsidR="00D313CF">
        <w:t>,</w:t>
      </w:r>
      <w:r w:rsidRPr="00067EB0">
        <w:t xml:space="preserve"> TFUE (vecchio art. 108, par. 2, reg. proc. Corte), la nuo</w:t>
      </w:r>
      <w:r w:rsidR="00E80D45">
        <w:softHyphen/>
      </w:r>
      <w:r w:rsidRPr="00067EB0">
        <w:t>va versione del reg. proc., in vigore dal primo novembre 2012, introduce una modifica nel senso di prevedere che anche per questo procedimento il primo A.G. sia richiesto di attribuire il compito di essere sentito ad un solo A.G. (cfr. artt. 197 e 199 nuovo reg. proc. Corte).</w:t>
      </w:r>
    </w:p>
    <w:p w14:paraId="3F393539" w14:textId="7D662681" w:rsidR="00CC6E33" w:rsidRPr="00067EB0" w:rsidRDefault="00CC6E33" w:rsidP="00067EB0">
      <w:pPr>
        <w:pStyle w:val="Capoverso"/>
      </w:pPr>
      <w:r w:rsidRPr="00067EB0">
        <w:t>Ai sensi del regolamento di procedura, l</w:t>
      </w:r>
      <w:r w:rsidR="00D04C06" w:rsidRPr="00067EB0">
        <w:t>’</w:t>
      </w:r>
      <w:r w:rsidRPr="00067EB0">
        <w:t>A.G. investito di una determinata causa partecipa all</w:t>
      </w:r>
      <w:r w:rsidR="00D04C06" w:rsidRPr="00067EB0">
        <w:t>’</w:t>
      </w:r>
      <w:r w:rsidRPr="00067EB0">
        <w:t>istruzione ed alla trattazione della stessa; e ciò anche qualora si tratti di una causa per la quale la Corte decide senza le sue conclusioni. Può partecipare all</w:t>
      </w:r>
      <w:r w:rsidR="00D04C06" w:rsidRPr="00067EB0">
        <w:t>’</w:t>
      </w:r>
      <w:r w:rsidRPr="00067EB0">
        <w:t>assunzione di mezzi istruttori (art. 65, ipotesi in realtà molto rara), chiedere la citazione di testimoni (art. 67, par. 3), rivolgere quesiti ai periti (art. 70) nonché alle parti ed agli intervenienti nel corso della procedura orale (art. 80). Inoltre, il parere dell</w:t>
      </w:r>
      <w:r w:rsidR="00D04C06" w:rsidRPr="00067EB0">
        <w:t>’</w:t>
      </w:r>
      <w:r w:rsidRPr="00067EB0">
        <w:t>A.G. deve essere richiesto prima del compimento di numerosi atti di procedura, che concernono tra gli altri la riunione delle cause connesse (art. 54), l</w:t>
      </w:r>
      <w:r w:rsidR="00D04C06" w:rsidRPr="00067EB0">
        <w:t>’</w:t>
      </w:r>
      <w:r w:rsidRPr="00067EB0">
        <w:t>omissione della fase orale o delle conclusioni (art</w:t>
      </w:r>
      <w:r w:rsidR="00D313CF">
        <w:t>t</w:t>
      </w:r>
      <w:r w:rsidRPr="00067EB0">
        <w:t xml:space="preserve">. 76, </w:t>
      </w:r>
      <w:proofErr w:type="spellStart"/>
      <w:r w:rsidRPr="00067EB0">
        <w:t>parr</w:t>
      </w:r>
      <w:proofErr w:type="spellEnd"/>
      <w:r w:rsidRPr="00067EB0">
        <w:t>. 2 e 59, par. 2</w:t>
      </w:r>
      <w:r w:rsidR="00D313CF">
        <w:t>)</w:t>
      </w:r>
      <w:r w:rsidRPr="00067EB0">
        <w:t>. In tutti questi casi, il parere dell</w:t>
      </w:r>
      <w:r w:rsidR="00D04C06" w:rsidRPr="00067EB0">
        <w:t>’</w:t>
      </w:r>
      <w:r w:rsidRPr="00067EB0">
        <w:t>A.G., pur obbligatorio, non assume mai una portata vincolante</w:t>
      </w:r>
      <w:r w:rsidR="00651730" w:rsidRPr="00651730">
        <w:rPr>
          <w:vertAlign w:val="superscript"/>
        </w:rPr>
        <w:t> </w:t>
      </w:r>
      <w:r w:rsidR="00D15290">
        <w:rPr>
          <w:rStyle w:val="Rimandonotaapidipagina"/>
        </w:rPr>
        <w:footnoteReference w:id="104"/>
      </w:r>
      <w:r w:rsidRPr="00067EB0">
        <w:t>.</w:t>
      </w:r>
    </w:p>
    <w:p w14:paraId="73D188F8" w14:textId="7527CE72" w:rsidR="00D04C06" w:rsidRPr="00067EB0" w:rsidRDefault="00CC6E33" w:rsidP="00067EB0">
      <w:pPr>
        <w:pStyle w:val="Capoverso"/>
      </w:pPr>
      <w:r w:rsidRPr="00067EB0">
        <w:t xml:space="preserve">Contrariamente alla struttura che caratterizza la Corte di giustizia, il Tribunale </w:t>
      </w:r>
      <w:r w:rsidRPr="00067EB0">
        <w:rPr>
          <w:iCs/>
        </w:rPr>
        <w:t xml:space="preserve">non dispone di </w:t>
      </w:r>
      <w:r w:rsidRPr="00067EB0">
        <w:t xml:space="preserve">A.G. </w:t>
      </w:r>
      <w:r w:rsidRPr="00067EB0">
        <w:rPr>
          <w:iCs/>
        </w:rPr>
        <w:t>permanenti,</w:t>
      </w:r>
      <w:r w:rsidRPr="00067EB0">
        <w:t xml:space="preserve"> benché l</w:t>
      </w:r>
      <w:r w:rsidR="00D04C06" w:rsidRPr="00067EB0">
        <w:t>’</w:t>
      </w:r>
      <w:r w:rsidRPr="00067EB0">
        <w:t xml:space="preserve">art. 254 TFUE precisi, con una formula che consentirebbe in linea di principio di </w:t>
      </w:r>
      <w:r w:rsidRPr="00853B2F">
        <w:rPr>
          <w:i/>
          <w:iCs/>
        </w:rPr>
        <w:t>aggiungere</w:t>
      </w:r>
      <w:r w:rsidRPr="00067EB0">
        <w:t xml:space="preserve"> A.G. ai giudici del Tribunale, che lo Statuto “può prevedere che il Tribunale sia assistito da </w:t>
      </w:r>
      <w:r w:rsidR="005A31D3">
        <w:t>avvocati generali</w:t>
      </w:r>
      <w:r w:rsidRPr="00067EB0">
        <w:t>”. In applicazione di questa regola abilitante, lo Statuto prevede che, per i ricorsi diretti, la funzione di A.G. possa essere eccezional</w:t>
      </w:r>
      <w:r w:rsidRPr="00067EB0">
        <w:lastRenderedPageBreak/>
        <w:t xml:space="preserve">mente (quando lo richiedano particolari difficoltà in diritto o complessità in fatto) </w:t>
      </w:r>
      <w:r w:rsidRPr="00853B2F">
        <w:rPr>
          <w:i/>
          <w:iCs/>
        </w:rPr>
        <w:t>attribuita ad uno dei giudici del Tribunale</w:t>
      </w:r>
      <w:r w:rsidRPr="00067EB0">
        <w:t>, il quale in tal caso non può prendere parte alla decisione della causa</w:t>
      </w:r>
      <w:r w:rsidR="00557599" w:rsidRPr="00557599">
        <w:rPr>
          <w:rStyle w:val="Rimandonotaapidipagina"/>
        </w:rPr>
        <w:t> </w:t>
      </w:r>
      <w:r w:rsidR="00557599" w:rsidRPr="00557599">
        <w:rPr>
          <w:rStyle w:val="Rimandonotaapidipagina"/>
        </w:rPr>
        <w:footnoteReference w:id="105"/>
      </w:r>
      <w:r w:rsidRPr="00067EB0">
        <w:t>. Nella prassi si tratta di un</w:t>
      </w:r>
      <w:r w:rsidR="00D04C06" w:rsidRPr="00067EB0">
        <w:t>’</w:t>
      </w:r>
      <w:r w:rsidRPr="00067EB0">
        <w:t>eventualità, come era facilmente prevedibile considerate le peculiarità del contenzioso di cui si occupa il Tribunale, estremamente rara: si contano ad oggi soltanto quattro conclusioni nelle procedure dinanzi al Tribunale, tutte concentrate negli anni 1991 e 1992</w:t>
      </w:r>
      <w:r w:rsidR="00557599" w:rsidRPr="00557599">
        <w:rPr>
          <w:rStyle w:val="Rimandonotaapidipagina"/>
        </w:rPr>
        <w:t> </w:t>
      </w:r>
      <w:r w:rsidR="00557599" w:rsidRPr="00557599">
        <w:rPr>
          <w:rStyle w:val="Rimandonotaapidipagina"/>
        </w:rPr>
        <w:footnoteReference w:id="106"/>
      </w:r>
      <w:r w:rsidRPr="00067EB0">
        <w:t>.</w:t>
      </w:r>
    </w:p>
    <w:p w14:paraId="125DCDAA" w14:textId="4A474A58" w:rsidR="00CC6E33" w:rsidRPr="00067EB0" w:rsidRDefault="00CC6E33" w:rsidP="00067EB0">
      <w:pPr>
        <w:pStyle w:val="Capoverso"/>
      </w:pPr>
      <w:r w:rsidRPr="00067EB0">
        <w:t>Come anticipato, l</w:t>
      </w:r>
      <w:r w:rsidR="00D04C06" w:rsidRPr="00067EB0">
        <w:t>’</w:t>
      </w:r>
      <w:r w:rsidRPr="00067EB0">
        <w:t xml:space="preserve">attribuzione parziale di competenze pregiudiziali al Tribunale ha portato ad una modifica delle regole, nel senso di contemplare un sistema “misto” per cui, per questo tipo di procedure ed allo scopo di rendere il procedimento il più possibile simile a quello della Corte, uno o più giudici del Tribunale assumono </w:t>
      </w:r>
      <w:r w:rsidRPr="00853B2F">
        <w:rPr>
          <w:i/>
        </w:rPr>
        <w:t>anche</w:t>
      </w:r>
      <w:r w:rsidRPr="00067EB0">
        <w:t>, in maniera stabile, le funzioni di A.G.</w:t>
      </w:r>
      <w:r w:rsidR="00557599" w:rsidRPr="00557599">
        <w:rPr>
          <w:rStyle w:val="Rimandonotaapidipagina"/>
        </w:rPr>
        <w:t> </w:t>
      </w:r>
      <w:r w:rsidR="00557599" w:rsidRPr="00557599">
        <w:rPr>
          <w:rStyle w:val="Rimandonotaapidipagina"/>
        </w:rPr>
        <w:footnoteReference w:id="107"/>
      </w:r>
      <w:r w:rsidRPr="00067EB0">
        <w:t xml:space="preserve">. In questo caso, i giudici del Tribunale eleggono tra di loro quelli chiamati a svolgere, per un periodo di tre anni rinnovabile una sola volta, anche le funzioni di A.G. (art. 49 </w:t>
      </w:r>
      <w:r w:rsidRPr="00853B2F">
        <w:rPr>
          <w:i/>
          <w:iCs/>
        </w:rPr>
        <w:t>bis</w:t>
      </w:r>
      <w:r w:rsidRPr="00067EB0">
        <w:t xml:space="preserve">, secondo e quarto comma, Statuto e art. 31 </w:t>
      </w:r>
      <w:r w:rsidRPr="00853B2F">
        <w:rPr>
          <w:i/>
          <w:iCs/>
        </w:rPr>
        <w:t>bis</w:t>
      </w:r>
      <w:r w:rsidRPr="00067EB0">
        <w:t xml:space="preserve"> </w:t>
      </w:r>
      <w:r w:rsidR="006C677E">
        <w:t xml:space="preserve">reg. proc. </w:t>
      </w:r>
      <w:proofErr w:type="spellStart"/>
      <w:r w:rsidR="006C677E">
        <w:t>Trib</w:t>
      </w:r>
      <w:proofErr w:type="spellEnd"/>
      <w:r w:rsidR="006C677E">
        <w:t>.</w:t>
      </w:r>
      <w:r w:rsidRPr="00067EB0">
        <w:t>), con la precisazione che, nel periodo in cui svolgono dette funzioni, i giudici in questione non possono far parte dei collegi che giudicano le domande di pronuncia pregiudiziale, potendo invece continuare ad esercitare le funzioni di giudice nel ricorsi diretti. Il presidente del Tribunale decide in merito all</w:t>
      </w:r>
      <w:r w:rsidR="00D04C06" w:rsidRPr="00067EB0">
        <w:t>’</w:t>
      </w:r>
      <w:r w:rsidRPr="00067EB0">
        <w:t>attribu</w:t>
      </w:r>
      <w:r w:rsidR="00E80D45">
        <w:softHyphen/>
      </w:r>
      <w:r w:rsidRPr="00067EB0">
        <w:t>zione delle cause agli A.G. Conformemente all</w:t>
      </w:r>
      <w:r w:rsidR="00D04C06" w:rsidRPr="00067EB0">
        <w:t>’</w:t>
      </w:r>
      <w:r w:rsidRPr="00067EB0">
        <w:t>art. 49</w:t>
      </w:r>
      <w:r w:rsidR="00704DFF" w:rsidRPr="00067EB0">
        <w:t xml:space="preserve"> </w:t>
      </w:r>
      <w:r w:rsidRPr="00853B2F">
        <w:rPr>
          <w:i/>
          <w:iCs/>
        </w:rPr>
        <w:t>bis</w:t>
      </w:r>
      <w:r w:rsidRPr="00067EB0">
        <w:t>, terzo comma, dello Statuto, l</w:t>
      </w:r>
      <w:r w:rsidR="00D04C06" w:rsidRPr="00067EB0">
        <w:t>’</w:t>
      </w:r>
      <w:r w:rsidRPr="00067EB0">
        <w:t xml:space="preserve">A.G. è scelto tra i giudici eletti per esercitare tale funzione che appartengono a una </w:t>
      </w:r>
      <w:r w:rsidRPr="00853B2F">
        <w:rPr>
          <w:i/>
        </w:rPr>
        <w:t>sezione diversa</w:t>
      </w:r>
      <w:r w:rsidRPr="00067EB0">
        <w:t xml:space="preserve"> da quella alla quale la causa è stata attribuita (art. 31 </w:t>
      </w:r>
      <w:r w:rsidRPr="00853B2F">
        <w:rPr>
          <w:i/>
          <w:iCs/>
        </w:rPr>
        <w:t>ter</w:t>
      </w:r>
      <w:r w:rsidRPr="00067EB0">
        <w:t xml:space="preserve"> </w:t>
      </w:r>
      <w:r w:rsidR="006C677E">
        <w:t xml:space="preserve">reg. proc. </w:t>
      </w:r>
      <w:proofErr w:type="spellStart"/>
      <w:r w:rsidR="006C677E">
        <w:t>Trib</w:t>
      </w:r>
      <w:proofErr w:type="spellEnd"/>
      <w:r w:rsidR="006C677E">
        <w:t>.</w:t>
      </w:r>
      <w:r w:rsidRPr="00067EB0">
        <w:t>).</w:t>
      </w:r>
    </w:p>
    <w:p w14:paraId="33A79DD8" w14:textId="77777777" w:rsidR="00CC6E33" w:rsidRPr="00164B22" w:rsidRDefault="00CC6E33" w:rsidP="00D61682">
      <w:pPr>
        <w:pStyle w:val="Paragrafo"/>
      </w:pPr>
      <w:r w:rsidRPr="00164B22">
        <w:lastRenderedPageBreak/>
        <w:t xml:space="preserve">8. Il </w:t>
      </w:r>
      <w:r w:rsidRPr="00D61682">
        <w:t>cancelliere</w:t>
      </w:r>
      <w:r w:rsidRPr="00164B22">
        <w:t xml:space="preserve"> e gli organi ausiliari</w:t>
      </w:r>
    </w:p>
    <w:p w14:paraId="405F2BF4" w14:textId="50D3D6F8" w:rsidR="00CC6E33" w:rsidRPr="00067EB0" w:rsidRDefault="00D15290" w:rsidP="00067EB0">
      <w:pPr>
        <w:pStyle w:val="Capoverso"/>
      </w:pPr>
      <w:r>
        <w:t>La struttura della CGUE si avvale di</w:t>
      </w:r>
      <w:r w:rsidR="00CC6E33" w:rsidRPr="00067EB0">
        <w:t xml:space="preserve"> una serie di organi ausiliari dei giudici dell</w:t>
      </w:r>
      <w:r w:rsidR="00D04C06" w:rsidRPr="00067EB0">
        <w:t>’</w:t>
      </w:r>
      <w:r w:rsidR="00CC6E33" w:rsidRPr="00067EB0">
        <w:t>Unione che svolgono attività assai rilevanti per il funzionamento del sistema giurisdizionale nel suo complesso.</w:t>
      </w:r>
    </w:p>
    <w:p w14:paraId="03998C0D" w14:textId="07C0A7EC" w:rsidR="00D04C06" w:rsidRPr="00067EB0" w:rsidRDefault="00CC6E33" w:rsidP="00067EB0">
      <w:pPr>
        <w:pStyle w:val="Capoverso"/>
      </w:pPr>
      <w:r w:rsidRPr="00067EB0">
        <w:t xml:space="preserve">Un ruolo di primissimo piano riveste la </w:t>
      </w:r>
      <w:r w:rsidRPr="00853B2F">
        <w:rPr>
          <w:i/>
        </w:rPr>
        <w:t>cancelleria</w:t>
      </w:r>
      <w:r w:rsidRPr="00067EB0">
        <w:t xml:space="preserve"> (</w:t>
      </w:r>
      <w:proofErr w:type="spellStart"/>
      <w:r w:rsidRPr="00853B2F">
        <w:rPr>
          <w:i/>
        </w:rPr>
        <w:t>Greffe</w:t>
      </w:r>
      <w:proofErr w:type="spellEnd"/>
      <w:r w:rsidRPr="00067EB0">
        <w:t>) delle due corti dell</w:t>
      </w:r>
      <w:r w:rsidR="00D04C06" w:rsidRPr="00067EB0">
        <w:t>’</w:t>
      </w:r>
      <w:r w:rsidRPr="00067EB0">
        <w:t>Unione, responsabile, innanzitutto, della tenuta dei fascicoli delle cause pendenti, dei registri sui quali vengono iscritti gli atti del procedimento, del rilascio delle copie, delle comunicazioni sulla Gazzetta Ufficiale e della notifica alle parti e chiamata, dunque, sotto tali aspetti, ad esercitare i tradizionali compiti delle cancellerie giudiziarie nazionali. Nondimeno, la figura del cancelliere (</w:t>
      </w:r>
      <w:proofErr w:type="spellStart"/>
      <w:r w:rsidRPr="00853B2F">
        <w:rPr>
          <w:i/>
        </w:rPr>
        <w:t>Greffier</w:t>
      </w:r>
      <w:proofErr w:type="spellEnd"/>
      <w:r w:rsidRPr="00067EB0">
        <w:t>), prevista espressamente dagli artt. 2</w:t>
      </w:r>
      <w:r w:rsidR="002720B1">
        <w:t>2</w:t>
      </w:r>
      <w:r w:rsidRPr="00067EB0">
        <w:t>3 e 2</w:t>
      </w:r>
      <w:r w:rsidR="002720B1">
        <w:t>2</w:t>
      </w:r>
      <w:r w:rsidRPr="00067EB0">
        <w:t xml:space="preserve">4 </w:t>
      </w:r>
      <w:proofErr w:type="spellStart"/>
      <w:r w:rsidR="00466935">
        <w:t>T</w:t>
      </w:r>
      <w:r w:rsidR="002720B1">
        <w:t>r</w:t>
      </w:r>
      <w:proofErr w:type="spellEnd"/>
      <w:r w:rsidR="002720B1">
        <w:t xml:space="preserve">. </w:t>
      </w:r>
      <w:r w:rsidRPr="00067EB0">
        <w:t>CE, non è del tutto assimilabile agli omologhi nazionali, in quanto esercita funzioni variegate, di tipo sia giudiziario sia amministrativo. In particolare, il cancelliere della Corte, oltre a collaborare attivamente con i giudici nella trattazione delle cause – così come, del resto, il cancelliere del Tribunale – è posto a capo degli uffici del</w:t>
      </w:r>
      <w:r w:rsidR="00AF1BDB">
        <w:softHyphen/>
      </w:r>
      <w:r w:rsidRPr="00067EB0">
        <w:t>l</w:t>
      </w:r>
      <w:r w:rsidR="00D04C06" w:rsidRPr="00067EB0">
        <w:t>’</w:t>
      </w:r>
      <w:r w:rsidRPr="00067EB0">
        <w:t>istituzione, sotto l</w:t>
      </w:r>
      <w:r w:rsidR="00D04C06" w:rsidRPr="00067EB0">
        <w:t>’</w:t>
      </w:r>
      <w:r w:rsidRPr="00067EB0">
        <w:t>autorità del presidente della Corte stessa</w:t>
      </w:r>
      <w:r w:rsidR="00557599" w:rsidRPr="00557599">
        <w:rPr>
          <w:rStyle w:val="Rimandonotaapidipagina"/>
        </w:rPr>
        <w:t> </w:t>
      </w:r>
      <w:r w:rsidR="00557599" w:rsidRPr="00557599">
        <w:rPr>
          <w:rStyle w:val="Rimandonotaapidipagina"/>
        </w:rPr>
        <w:footnoteReference w:id="108"/>
      </w:r>
      <w:r w:rsidRPr="00067EB0">
        <w:t>. Sono quindi posti sotto la sua direzione tutti gli uffici della Corte, in particolare la divisione amministrativa, la divisione ricerca e documentazione, la divisione stampa ed informazione, il servizio biblioteca, i servizi linguistici che si occupano dell</w:t>
      </w:r>
      <w:r w:rsidR="00D04C06" w:rsidRPr="00067EB0">
        <w:t>’</w:t>
      </w:r>
      <w:r w:rsidRPr="00067EB0">
        <w:t>in</w:t>
      </w:r>
      <w:r w:rsidR="00476F21">
        <w:softHyphen/>
      </w:r>
      <w:r w:rsidRPr="00067EB0">
        <w:t>terpretariato e della traduzione. Di particolare rilievo, poi, sono alcune competenze assegnate al cancelliere, quali la presenza in udienza, la sottoscrizione delle sentenze (che devono menzionare anche il suo nome) e l</w:t>
      </w:r>
      <w:r w:rsidR="00D04C06" w:rsidRPr="00067EB0">
        <w:t>’</w:t>
      </w:r>
      <w:r w:rsidRPr="00067EB0">
        <w:t>invito alle parti alla regolarizzazione degli atti introduttivi, con la fissazione del termine entro cui è necessario procedervi. Per comprendere appieno le competenze di tale figura, è utile consultare le istruzioni al cancelliere della Corte e del Tribunale, che disciplinano anche i diritti di cancelleria e le spese di giustizia.</w:t>
      </w:r>
    </w:p>
    <w:p w14:paraId="34634410" w14:textId="4CB4610A" w:rsidR="00CC6E33" w:rsidRPr="00067EB0" w:rsidRDefault="00CC6E33" w:rsidP="00067EB0">
      <w:pPr>
        <w:pStyle w:val="Capoverso"/>
      </w:pPr>
      <w:r w:rsidRPr="00067EB0">
        <w:t>Ciascuno degli organi giudiziari nomina per un periodo di sei anni (rinnovabile) il proprio cancelliere</w:t>
      </w:r>
      <w:r w:rsidR="00557599" w:rsidRPr="00557599">
        <w:rPr>
          <w:rStyle w:val="Rimandonotaapidipagina"/>
        </w:rPr>
        <w:t> </w:t>
      </w:r>
      <w:r w:rsidR="00557599" w:rsidRPr="00557599">
        <w:rPr>
          <w:rStyle w:val="Rimandonotaapidipagina"/>
        </w:rPr>
        <w:footnoteReference w:id="109"/>
      </w:r>
      <w:r w:rsidRPr="00067EB0">
        <w:t xml:space="preserve">, che viene affiancato nelle sue attività (data la loro complessità, insieme con quella della struttura di cui è a capo) da </w:t>
      </w:r>
      <w:r w:rsidRPr="00853B2F">
        <w:rPr>
          <w:i/>
        </w:rPr>
        <w:t xml:space="preserve">cancellieri aggiunti </w:t>
      </w:r>
      <w:r w:rsidRPr="00067EB0">
        <w:t xml:space="preserve">incaricati di assisterlo e di sostituirlo in caso di impedimento, nonché da un nutrito numero di </w:t>
      </w:r>
      <w:r w:rsidRPr="00853B2F">
        <w:rPr>
          <w:i/>
        </w:rPr>
        <w:t>funzionari.</w:t>
      </w:r>
    </w:p>
    <w:p w14:paraId="5F36F05A" w14:textId="77777777" w:rsidR="00CC6E33" w:rsidRPr="00067EB0" w:rsidRDefault="00CC6E33" w:rsidP="00067EB0">
      <w:pPr>
        <w:pStyle w:val="Capoverso"/>
      </w:pPr>
      <w:r w:rsidRPr="00067EB0">
        <w:lastRenderedPageBreak/>
        <w:t xml:space="preserve">I </w:t>
      </w:r>
      <w:r w:rsidRPr="00853B2F">
        <w:rPr>
          <w:i/>
        </w:rPr>
        <w:t>cabinets</w:t>
      </w:r>
      <w:r w:rsidRPr="00067EB0">
        <w:t xml:space="preserve"> dei giudici e degli A.G. si avvalgono, poi, delle prestazioni dei collaboratori giuridici (c.d. </w:t>
      </w:r>
      <w:r w:rsidRPr="00853B2F">
        <w:rPr>
          <w:i/>
        </w:rPr>
        <w:t>referendari</w:t>
      </w:r>
      <w:r w:rsidRPr="00067EB0">
        <w:t xml:space="preserve">), che aiutano i membri della Corte e del Tribunale nella preparazione delle cause e più in generale degli atti inerenti al loro ufficio, e del </w:t>
      </w:r>
      <w:r w:rsidRPr="00853B2F">
        <w:rPr>
          <w:i/>
        </w:rPr>
        <w:t xml:space="preserve">personale di segreteria </w:t>
      </w:r>
      <w:r w:rsidRPr="00067EB0">
        <w:t>e</w:t>
      </w:r>
      <w:r w:rsidRPr="00853B2F">
        <w:rPr>
          <w:i/>
        </w:rPr>
        <w:t xml:space="preserve"> di supporto</w:t>
      </w:r>
      <w:r w:rsidRPr="00067EB0">
        <w:t>. I referendari, di numero variabile tra la Corte ed il Tribunale, sono dotati di una qualificata competenza giuridica e, salve le figure recenti presso il Tribunale dei referendari di sezione e della Task Force di referendari assegnati al Presidente, sono legati da un rapporto fiduciario al singolo giudice o A.G. che assistono; se non sono già funzionari delle istituzioni, assumono la qualifica statutaria di agenti temporanei.</w:t>
      </w:r>
    </w:p>
    <w:p w14:paraId="345A9BC5" w14:textId="4AEB16EA" w:rsidR="00D04C06" w:rsidRPr="00067EB0" w:rsidRDefault="00CC6E33" w:rsidP="00067EB0">
      <w:pPr>
        <w:pStyle w:val="Capoverso"/>
      </w:pPr>
      <w:r w:rsidRPr="00067EB0">
        <w:t xml:space="preserve">Lo Statuto prevede infine la figura ausiliaria dei </w:t>
      </w:r>
      <w:r w:rsidRPr="00853B2F">
        <w:rPr>
          <w:i/>
        </w:rPr>
        <w:t>relatori aggiunti</w:t>
      </w:r>
      <w:r w:rsidRPr="00067EB0">
        <w:t xml:space="preserve"> che, scelti tra persone che offrano garanzie di indipendenza e qualificazioni giuridiche necessarie, possono essere nominati dal Consiglio all</w:t>
      </w:r>
      <w:r w:rsidR="00D04C06" w:rsidRPr="00067EB0">
        <w:t>’</w:t>
      </w:r>
      <w:r w:rsidRPr="00067EB0">
        <w:t>unanimità su proposta della Corte quando essa li ritenga necessari per l</w:t>
      </w:r>
      <w:r w:rsidR="00D04C06" w:rsidRPr="00067EB0">
        <w:t>’</w:t>
      </w:r>
      <w:r w:rsidRPr="00067EB0">
        <w:t>istruzione delle cause che le sono sottoposte (cfr. art. 13, secondo comma, Statuto). Si tratta, dunque, di figure esterne all</w:t>
      </w:r>
      <w:r w:rsidR="00D04C06" w:rsidRPr="00067EB0">
        <w:t>’</w:t>
      </w:r>
      <w:r w:rsidRPr="00067EB0">
        <w:t xml:space="preserve">istituzione, scelte per far fronte a determinate esigenze legate alle caratteristiche peculiari di determinate cause, chiamate pertanto a prestare giuramento dopo la nomina. Nella prassi, peraltro, non si è mai proceduto alla nomina di alcun relatore aggiunto, forse perché evocativi della figura del giudice </w:t>
      </w:r>
      <w:r w:rsidRPr="00853B2F">
        <w:rPr>
          <w:i/>
        </w:rPr>
        <w:t>ad hoc</w:t>
      </w:r>
      <w:r w:rsidRPr="00067EB0">
        <w:t>, espressamente vietato dallo Statuto della Corte (v. art. 18, quarto comma), e per la volontà degli Stati membri (e della Corte stessa) di non introdurlo surrettiziamente</w:t>
      </w:r>
      <w:r w:rsidRPr="00067EB0">
        <w:rPr>
          <w:smallCaps/>
        </w:rPr>
        <w:t xml:space="preserve">. </w:t>
      </w:r>
      <w:r w:rsidRPr="00067EB0">
        <w:t>La figura del relatore aggiunto potrebbe tuttavia tornare d</w:t>
      </w:r>
      <w:r w:rsidR="00D04C06" w:rsidRPr="00067EB0">
        <w:t>’</w:t>
      </w:r>
      <w:r w:rsidRPr="00067EB0">
        <w:t>attua</w:t>
      </w:r>
      <w:r w:rsidR="00E80D45">
        <w:softHyphen/>
      </w:r>
      <w:r w:rsidRPr="00067EB0">
        <w:t xml:space="preserve">lità nelle cause pregiudiziali che sollevano delicate questioni di carattere costituzionale negli Stati membri (ad esempio, questioni relative alla tutela dei diritti fondamentali o alla ripartizione di competenze tra Unione europea e Stati membri): la presenza di un relatore aggiunto, ad esempio un membro della Corte costituzionale o della Corte </w:t>
      </w:r>
      <w:r w:rsidR="00FA240A">
        <w:t>S</w:t>
      </w:r>
      <w:r w:rsidRPr="00067EB0">
        <w:t>uprema dello Stato membro coinvolto, consentirebbe alla Corte, in caso di rinvii provenienti da giudici diversi da quelli di vertice, di tenere in debita considerazione le esigenze costituzionali proprie dell</w:t>
      </w:r>
      <w:r w:rsidR="00D04C06" w:rsidRPr="00067EB0">
        <w:t>’</w:t>
      </w:r>
      <w:r w:rsidRPr="00067EB0">
        <w:t>ordina</w:t>
      </w:r>
      <w:r w:rsidR="00D26142">
        <w:softHyphen/>
      </w:r>
      <w:r w:rsidRPr="00067EB0">
        <w:t>mento del Paese membro coinvolto.</w:t>
      </w:r>
    </w:p>
    <w:p w14:paraId="425AF2CE" w14:textId="57B79FA8" w:rsidR="00CC6E33" w:rsidRPr="00213335" w:rsidRDefault="00CC6E33" w:rsidP="00476F21">
      <w:pPr>
        <w:pStyle w:val="Paragrafo"/>
        <w:spacing w:before="700"/>
      </w:pPr>
      <w:r w:rsidRPr="00D61682">
        <w:t>Bibliografia</w:t>
      </w:r>
      <w:r>
        <w:t xml:space="preserve"> essenziale</w:t>
      </w:r>
    </w:p>
    <w:p w14:paraId="3621ACF1" w14:textId="6A3F961F" w:rsidR="00CC6E33" w:rsidRDefault="00CC6E33" w:rsidP="00D61682">
      <w:pPr>
        <w:pStyle w:val="Bibliografia"/>
        <w:rPr>
          <w:lang w:val="en-GB"/>
        </w:rPr>
      </w:pPr>
      <w:bookmarkStart w:id="6" w:name="_Hlk124155753"/>
      <w:r w:rsidRPr="00213335">
        <w:rPr>
          <w:smallCaps/>
        </w:rPr>
        <w:t>J. Alberti</w:t>
      </w:r>
      <w:r w:rsidRPr="00213335">
        <w:t xml:space="preserve">, </w:t>
      </w:r>
      <w:r w:rsidRPr="00853B2F">
        <w:rPr>
          <w:i/>
        </w:rPr>
        <w:t>Il trasferimento del rinvio pregiudiziale al tribunale, all</w:t>
      </w:r>
      <w:r w:rsidR="00D04C06" w:rsidRPr="00853B2F">
        <w:rPr>
          <w:i/>
        </w:rPr>
        <w:t>’</w:t>
      </w:r>
      <w:r w:rsidRPr="00853B2F">
        <w:rPr>
          <w:i/>
        </w:rPr>
        <w:t>alba della sua entrata in vigore</w:t>
      </w:r>
      <w:r w:rsidRPr="00213335">
        <w:t xml:space="preserve">, in </w:t>
      </w:r>
      <w:r w:rsidRPr="00853B2F">
        <w:rPr>
          <w:i/>
          <w:iCs/>
        </w:rPr>
        <w:t>Quaderni AISDUE</w:t>
      </w:r>
      <w:r w:rsidRPr="00213335">
        <w:rPr>
          <w:smallCaps/>
        </w:rPr>
        <w:t xml:space="preserve">, </w:t>
      </w:r>
      <w:r w:rsidRPr="005A154A">
        <w:t>n</w:t>
      </w:r>
      <w:r w:rsidRPr="00213335">
        <w:rPr>
          <w:smallCaps/>
        </w:rPr>
        <w:t>. 1</w:t>
      </w:r>
      <w:r>
        <w:rPr>
          <w:smallCaps/>
        </w:rPr>
        <w:t xml:space="preserve">, </w:t>
      </w:r>
      <w:r w:rsidRPr="00213335">
        <w:rPr>
          <w:smallCaps/>
        </w:rPr>
        <w:t>2024</w:t>
      </w:r>
      <w:r w:rsidR="00CD0654">
        <w:rPr>
          <w:smallCaps/>
        </w:rPr>
        <w:t xml:space="preserve">, </w:t>
      </w:r>
      <w:r w:rsidR="00CD0654" w:rsidRPr="00E31BFC">
        <w:t>p. 1 ss</w:t>
      </w:r>
      <w:r w:rsidR="00CD0654">
        <w:rPr>
          <w:smallCaps/>
        </w:rPr>
        <w:t>.</w:t>
      </w:r>
      <w:r w:rsidRPr="00213335">
        <w:rPr>
          <w:smallCaps/>
        </w:rPr>
        <w:t xml:space="preserve">; </w:t>
      </w:r>
      <w:r w:rsidRPr="00213335">
        <w:t xml:space="preserve">C. </w:t>
      </w:r>
      <w:r w:rsidRPr="00213335">
        <w:rPr>
          <w:smallCaps/>
        </w:rPr>
        <w:t>Amalfitano</w:t>
      </w:r>
      <w:r w:rsidRPr="00213335">
        <w:t>,</w:t>
      </w:r>
      <w:r w:rsidR="00D04C06">
        <w:t xml:space="preserve"> </w:t>
      </w:r>
      <w:r w:rsidRPr="00853B2F">
        <w:rPr>
          <w:i/>
        </w:rPr>
        <w:t>Il futuro del rinvio pregiudiziale nell</w:t>
      </w:r>
      <w:r w:rsidR="00D04C06" w:rsidRPr="00853B2F">
        <w:rPr>
          <w:i/>
        </w:rPr>
        <w:t>’</w:t>
      </w:r>
      <w:r w:rsidRPr="00853B2F">
        <w:rPr>
          <w:i/>
        </w:rPr>
        <w:t>architettura giurisdizionale dell</w:t>
      </w:r>
      <w:r w:rsidR="00D04C06" w:rsidRPr="00853B2F">
        <w:rPr>
          <w:i/>
        </w:rPr>
        <w:t>’</w:t>
      </w:r>
      <w:r w:rsidRPr="00853B2F">
        <w:rPr>
          <w:i/>
        </w:rPr>
        <w:t xml:space="preserve">Unione europea, </w:t>
      </w:r>
      <w:r w:rsidRPr="00213335">
        <w:rPr>
          <w:iCs/>
        </w:rPr>
        <w:t xml:space="preserve">in </w:t>
      </w:r>
      <w:r w:rsidRPr="00853B2F">
        <w:rPr>
          <w:i/>
        </w:rPr>
        <w:t>Il diritto del</w:t>
      </w:r>
      <w:r w:rsidR="00476F21">
        <w:rPr>
          <w:i/>
        </w:rPr>
        <w:softHyphen/>
      </w:r>
      <w:r w:rsidRPr="00853B2F">
        <w:rPr>
          <w:i/>
        </w:rPr>
        <w:t>l</w:t>
      </w:r>
      <w:r w:rsidR="00D04C06" w:rsidRPr="00853B2F">
        <w:rPr>
          <w:i/>
        </w:rPr>
        <w:t>’</w:t>
      </w:r>
      <w:r w:rsidRPr="00853B2F">
        <w:rPr>
          <w:i/>
        </w:rPr>
        <w:t>Unione Europea</w:t>
      </w:r>
      <w:r w:rsidRPr="00213335">
        <w:rPr>
          <w:iCs/>
        </w:rPr>
        <w:t>, 2022, p. 501 ss</w:t>
      </w:r>
      <w:r w:rsidRPr="00853B2F">
        <w:rPr>
          <w:i/>
        </w:rPr>
        <w:t>.</w:t>
      </w:r>
      <w:r w:rsidRPr="00EC2BB0">
        <w:t xml:space="preserve">; </w:t>
      </w:r>
      <w:r w:rsidRPr="00213335">
        <w:rPr>
          <w:smallCaps/>
        </w:rPr>
        <w:t>C. Amalfitano</w:t>
      </w:r>
      <w:r>
        <w:rPr>
          <w:smallCaps/>
        </w:rPr>
        <w:t>-</w:t>
      </w:r>
      <w:r w:rsidRPr="00213335">
        <w:rPr>
          <w:smallCaps/>
        </w:rPr>
        <w:t>M. Condinanzi (</w:t>
      </w:r>
      <w:r w:rsidRPr="005A154A">
        <w:t>a cura di</w:t>
      </w:r>
      <w:r w:rsidRPr="00213335">
        <w:rPr>
          <w:smallCaps/>
        </w:rPr>
        <w:t>)</w:t>
      </w:r>
      <w:r w:rsidRPr="00213335">
        <w:t xml:space="preserve">, </w:t>
      </w:r>
      <w:r w:rsidRPr="00853B2F">
        <w:rPr>
          <w:i/>
          <w:iCs/>
        </w:rPr>
        <w:t>La Corte di giustizia dell</w:t>
      </w:r>
      <w:r w:rsidR="00D04C06" w:rsidRPr="00853B2F">
        <w:rPr>
          <w:i/>
          <w:iCs/>
        </w:rPr>
        <w:t>’</w:t>
      </w:r>
      <w:r w:rsidRPr="00853B2F">
        <w:rPr>
          <w:i/>
          <w:iCs/>
        </w:rPr>
        <w:t>Unione europea oltre i Trattati: La riforma organizzativa e processuale del triennio 2012-2015</w:t>
      </w:r>
      <w:r w:rsidRPr="00213335">
        <w:t xml:space="preserve">, </w:t>
      </w:r>
      <w:r>
        <w:t xml:space="preserve">Giuffrè, </w:t>
      </w:r>
      <w:r w:rsidRPr="00213335">
        <w:t>Milano, 2018;</w:t>
      </w:r>
      <w:bookmarkEnd w:id="6"/>
      <w:r w:rsidRPr="00213335">
        <w:t xml:space="preserve"> </w:t>
      </w:r>
      <w:proofErr w:type="spellStart"/>
      <w:r w:rsidRPr="00213335">
        <w:rPr>
          <w:smallCaps/>
        </w:rPr>
        <w:t>Ead</w:t>
      </w:r>
      <w:proofErr w:type="spellEnd"/>
      <w:r w:rsidRPr="00213335">
        <w:rPr>
          <w:smallCaps/>
        </w:rPr>
        <w:t>.</w:t>
      </w:r>
      <w:r w:rsidRPr="00213335">
        <w:t xml:space="preserve"> (a cura di), </w:t>
      </w:r>
      <w:r w:rsidRPr="00853B2F">
        <w:rPr>
          <w:i/>
        </w:rPr>
        <w:t>Il giudice del</w:t>
      </w:r>
      <w:r w:rsidR="00476F21">
        <w:rPr>
          <w:i/>
        </w:rPr>
        <w:softHyphen/>
      </w:r>
      <w:r w:rsidRPr="00853B2F">
        <w:rPr>
          <w:i/>
        </w:rPr>
        <w:t>l</w:t>
      </w:r>
      <w:r w:rsidR="00D04C06" w:rsidRPr="00853B2F">
        <w:rPr>
          <w:i/>
        </w:rPr>
        <w:t>’</w:t>
      </w:r>
      <w:r w:rsidRPr="00853B2F">
        <w:rPr>
          <w:i/>
        </w:rPr>
        <w:t>Unione europea alla ricerca di un assetto efficiente e (in)stabile: dall</w:t>
      </w:r>
      <w:r w:rsidR="00D04C06" w:rsidRPr="00853B2F">
        <w:rPr>
          <w:i/>
        </w:rPr>
        <w:t>’</w:t>
      </w:r>
      <w:r w:rsidRPr="00853B2F">
        <w:rPr>
          <w:i/>
        </w:rPr>
        <w:t>incremento della compo</w:t>
      </w:r>
      <w:r w:rsidRPr="00853B2F">
        <w:rPr>
          <w:i/>
        </w:rPr>
        <w:lastRenderedPageBreak/>
        <w:t>sizione alla modifica delle competenze</w:t>
      </w:r>
      <w:r w:rsidRPr="00213335">
        <w:t xml:space="preserve">, </w:t>
      </w:r>
      <w:r>
        <w:t xml:space="preserve">Giuffrè, </w:t>
      </w:r>
      <w:r w:rsidRPr="00213335">
        <w:t>Milano, 202</w:t>
      </w:r>
      <w:r>
        <w:t>2</w:t>
      </w:r>
      <w:r w:rsidRPr="00213335">
        <w:t xml:space="preserve">; </w:t>
      </w:r>
      <w:r w:rsidRPr="00213335">
        <w:rPr>
          <w:smallCaps/>
        </w:rPr>
        <w:t xml:space="preserve">A. </w:t>
      </w:r>
      <w:proofErr w:type="spellStart"/>
      <w:r w:rsidRPr="00213335">
        <w:rPr>
          <w:smallCaps/>
        </w:rPr>
        <w:t>Arnull</w:t>
      </w:r>
      <w:proofErr w:type="spellEnd"/>
      <w:r w:rsidRPr="00213335">
        <w:t xml:space="preserve">, </w:t>
      </w:r>
      <w:proofErr w:type="spellStart"/>
      <w:r w:rsidRPr="00853B2F">
        <w:rPr>
          <w:i/>
        </w:rPr>
        <w:t>Modernising</w:t>
      </w:r>
      <w:proofErr w:type="spellEnd"/>
      <w:r w:rsidRPr="00853B2F">
        <w:rPr>
          <w:i/>
        </w:rPr>
        <w:t xml:space="preserve"> the Community </w:t>
      </w:r>
      <w:proofErr w:type="spellStart"/>
      <w:r w:rsidRPr="00853B2F">
        <w:rPr>
          <w:i/>
        </w:rPr>
        <w:t>Courts</w:t>
      </w:r>
      <w:proofErr w:type="spellEnd"/>
      <w:r w:rsidRPr="00213335">
        <w:t xml:space="preserve">, in </w:t>
      </w:r>
      <w:r w:rsidRPr="00213335">
        <w:rPr>
          <w:smallCaps/>
        </w:rPr>
        <w:t xml:space="preserve">A. </w:t>
      </w:r>
      <w:proofErr w:type="spellStart"/>
      <w:r w:rsidRPr="00213335">
        <w:rPr>
          <w:smallCaps/>
        </w:rPr>
        <w:t>Dashwood</w:t>
      </w:r>
      <w:proofErr w:type="spellEnd"/>
      <w:r>
        <w:rPr>
          <w:smallCaps/>
        </w:rPr>
        <w:t>-</w:t>
      </w:r>
      <w:r w:rsidRPr="00213335">
        <w:rPr>
          <w:smallCaps/>
        </w:rPr>
        <w:t xml:space="preserve">J. </w:t>
      </w:r>
      <w:r w:rsidRPr="00691467">
        <w:rPr>
          <w:smallCaps/>
          <w:lang w:val="en-US"/>
        </w:rPr>
        <w:t xml:space="preserve">Spencer-A. Ward-C. </w:t>
      </w:r>
      <w:proofErr w:type="spellStart"/>
      <w:r w:rsidRPr="00691467">
        <w:rPr>
          <w:smallCaps/>
          <w:lang w:val="en-US"/>
        </w:rPr>
        <w:t>Hillion</w:t>
      </w:r>
      <w:proofErr w:type="spellEnd"/>
      <w:r w:rsidRPr="00691467">
        <w:rPr>
          <w:smallCaps/>
          <w:lang w:val="en-US"/>
        </w:rPr>
        <w:t xml:space="preserve"> (</w:t>
      </w:r>
      <w:r w:rsidRPr="00691467">
        <w:rPr>
          <w:lang w:val="en-US"/>
        </w:rPr>
        <w:t>eds.),</w:t>
      </w:r>
      <w:r w:rsidRPr="00691467">
        <w:rPr>
          <w:smallCaps/>
          <w:lang w:val="en-US"/>
        </w:rPr>
        <w:t xml:space="preserve"> </w:t>
      </w:r>
      <w:r w:rsidRPr="00853B2F">
        <w:rPr>
          <w:i/>
          <w:iCs/>
          <w:lang w:val="en-US"/>
        </w:rPr>
        <w:t>The Cambridge Yearbook of European Law</w:t>
      </w:r>
      <w:r w:rsidRPr="00691467">
        <w:rPr>
          <w:lang w:val="en-US"/>
        </w:rPr>
        <w:t>, vol. 3</w:t>
      </w:r>
      <w:r w:rsidR="00EC2BB0">
        <w:rPr>
          <w:lang w:val="en-US"/>
        </w:rPr>
        <w:t>,</w:t>
      </w:r>
      <w:r w:rsidRPr="00691467">
        <w:rPr>
          <w:lang w:val="en-US"/>
        </w:rPr>
        <w:t xml:space="preserve"> </w:t>
      </w:r>
      <w:r w:rsidRPr="00E31BFC">
        <w:rPr>
          <w:lang w:val="en-US"/>
        </w:rPr>
        <w:t xml:space="preserve">2000, </w:t>
      </w:r>
      <w:r w:rsidR="00EC2BB0" w:rsidRPr="00E31BFC">
        <w:rPr>
          <w:lang w:val="en-US"/>
        </w:rPr>
        <w:t xml:space="preserve">OUP, </w:t>
      </w:r>
      <w:r w:rsidRPr="00E31BFC">
        <w:rPr>
          <w:lang w:val="en-US"/>
        </w:rPr>
        <w:t>Oxford, 2001</w:t>
      </w:r>
      <w:r w:rsidRPr="00691467">
        <w:rPr>
          <w:lang w:val="en-US"/>
        </w:rPr>
        <w:t xml:space="preserve">, p. 37 ss.; </w:t>
      </w:r>
      <w:r w:rsidRPr="00691467">
        <w:rPr>
          <w:smallCaps/>
          <w:lang w:val="en-US"/>
        </w:rPr>
        <w:t>Id</w:t>
      </w:r>
      <w:r w:rsidRPr="00691467">
        <w:rPr>
          <w:lang w:val="en-US"/>
        </w:rPr>
        <w:t xml:space="preserve">., </w:t>
      </w:r>
      <w:r w:rsidRPr="00853B2F">
        <w:rPr>
          <w:i/>
          <w:iCs/>
          <w:lang w:val="en-US"/>
        </w:rPr>
        <w:t>The European Union and Its Court of Justice</w:t>
      </w:r>
      <w:r>
        <w:rPr>
          <w:lang w:val="en-US"/>
        </w:rPr>
        <w:t xml:space="preserve">, </w:t>
      </w:r>
      <w:r w:rsidRPr="00691467">
        <w:rPr>
          <w:lang w:val="en-US"/>
        </w:rPr>
        <w:t xml:space="preserve">II ed., OUP, </w:t>
      </w:r>
      <w:r w:rsidR="00EC2BB0" w:rsidRPr="00E31BFC">
        <w:rPr>
          <w:lang w:val="en-US"/>
        </w:rPr>
        <w:t>Oxford</w:t>
      </w:r>
      <w:r w:rsidR="00EC2BB0" w:rsidRPr="00F9613A">
        <w:rPr>
          <w:lang w:val="en-US"/>
        </w:rPr>
        <w:t>,</w:t>
      </w:r>
      <w:r w:rsidR="00EC2BB0" w:rsidRPr="00691467">
        <w:rPr>
          <w:lang w:val="en-US"/>
        </w:rPr>
        <w:t xml:space="preserve"> </w:t>
      </w:r>
      <w:r w:rsidRPr="00691467">
        <w:rPr>
          <w:lang w:val="en-US"/>
        </w:rPr>
        <w:t>2006; J. A</w:t>
      </w:r>
      <w:r w:rsidRPr="00691467">
        <w:rPr>
          <w:smallCaps/>
          <w:lang w:val="en-US"/>
        </w:rPr>
        <w:t>zizi</w:t>
      </w:r>
      <w:r w:rsidRPr="00691467">
        <w:rPr>
          <w:lang w:val="en-US"/>
        </w:rPr>
        <w:t xml:space="preserve">, </w:t>
      </w:r>
      <w:r w:rsidRPr="00853B2F">
        <w:rPr>
          <w:i/>
          <w:lang w:val="en-US"/>
        </w:rPr>
        <w:t>Opportunities and limits for the transfer of preliminary reference proceedings to the court of first Instance</w:t>
      </w:r>
      <w:r w:rsidRPr="00691467">
        <w:rPr>
          <w:lang w:val="en-US"/>
        </w:rPr>
        <w:t xml:space="preserve">, in </w:t>
      </w:r>
      <w:r w:rsidRPr="00691467">
        <w:rPr>
          <w:smallCaps/>
          <w:lang w:val="en-US"/>
        </w:rPr>
        <w:t xml:space="preserve">I. Pernice-J. </w:t>
      </w:r>
      <w:r w:rsidRPr="00B119AB">
        <w:rPr>
          <w:smallCaps/>
          <w:lang w:val="en-US"/>
        </w:rPr>
        <w:t xml:space="preserve">Kokott-C. Saunders </w:t>
      </w:r>
      <w:r w:rsidRPr="00B119AB">
        <w:rPr>
          <w:lang w:val="en-US"/>
        </w:rPr>
        <w:t xml:space="preserve">(eds.), </w:t>
      </w:r>
      <w:r w:rsidRPr="00B119AB">
        <w:rPr>
          <w:i/>
          <w:lang w:val="en-US"/>
        </w:rPr>
        <w:t>The Future of the European Judicial System</w:t>
      </w:r>
      <w:r w:rsidRPr="00B119AB">
        <w:rPr>
          <w:lang w:val="en-US"/>
        </w:rPr>
        <w:t xml:space="preserve"> </w:t>
      </w:r>
      <w:r w:rsidRPr="00B119AB">
        <w:rPr>
          <w:i/>
          <w:lang w:val="en-US"/>
        </w:rPr>
        <w:t>in a comparative perspective</w:t>
      </w:r>
      <w:r w:rsidRPr="00B119AB">
        <w:rPr>
          <w:lang w:val="en-US"/>
        </w:rPr>
        <w:t xml:space="preserve">, </w:t>
      </w:r>
      <w:r w:rsidR="00CD0654" w:rsidRPr="00B119AB">
        <w:rPr>
          <w:lang w:val="en-US"/>
        </w:rPr>
        <w:t>Nomos,</w:t>
      </w:r>
      <w:r w:rsidR="00EC2BB0" w:rsidRPr="00B119AB">
        <w:rPr>
          <w:lang w:val="en-US"/>
        </w:rPr>
        <w:t xml:space="preserve">, </w:t>
      </w:r>
      <w:r w:rsidRPr="00B119AB">
        <w:rPr>
          <w:lang w:val="en-US"/>
        </w:rPr>
        <w:t xml:space="preserve">Baden </w:t>
      </w:r>
      <w:proofErr w:type="spellStart"/>
      <w:r w:rsidRPr="00B119AB">
        <w:rPr>
          <w:lang w:val="en-US"/>
        </w:rPr>
        <w:t>Baden</w:t>
      </w:r>
      <w:proofErr w:type="spellEnd"/>
      <w:r w:rsidRPr="00B119AB">
        <w:rPr>
          <w:lang w:val="en-US"/>
        </w:rPr>
        <w:t xml:space="preserve">, 2006, p. 241 ss; C. </w:t>
      </w:r>
      <w:proofErr w:type="spellStart"/>
      <w:r w:rsidRPr="00B119AB">
        <w:rPr>
          <w:smallCaps/>
          <w:lang w:val="en-US"/>
        </w:rPr>
        <w:t>Blumann</w:t>
      </w:r>
      <w:proofErr w:type="spellEnd"/>
      <w:r w:rsidRPr="00B119AB">
        <w:rPr>
          <w:lang w:val="en-US"/>
        </w:rPr>
        <w:t xml:space="preserve">, </w:t>
      </w:r>
      <w:r w:rsidRPr="00476F21">
        <w:rPr>
          <w:i/>
          <w:iCs/>
          <w:lang w:val="fr-FR"/>
        </w:rPr>
        <w:t>L</w:t>
      </w:r>
      <w:r w:rsidR="00D04C06" w:rsidRPr="00476F21">
        <w:rPr>
          <w:i/>
          <w:iCs/>
          <w:lang w:val="fr-FR"/>
        </w:rPr>
        <w:t>’</w:t>
      </w:r>
      <w:r w:rsidRPr="00476F21">
        <w:rPr>
          <w:i/>
          <w:iCs/>
          <w:lang w:val="fr-FR"/>
        </w:rPr>
        <w:t>organisation des juridictions de l</w:t>
      </w:r>
      <w:r w:rsidR="00D04C06" w:rsidRPr="00476F21">
        <w:rPr>
          <w:i/>
          <w:iCs/>
          <w:lang w:val="fr-FR"/>
        </w:rPr>
        <w:t>’</w:t>
      </w:r>
      <w:r w:rsidRPr="00476F21">
        <w:rPr>
          <w:i/>
          <w:iCs/>
          <w:lang w:val="fr-FR"/>
        </w:rPr>
        <w:t>Union au lendemain du Traité de Lisbonne</w:t>
      </w:r>
      <w:r w:rsidRPr="00476F21">
        <w:rPr>
          <w:lang w:val="fr-FR"/>
        </w:rPr>
        <w:t xml:space="preserve">, in </w:t>
      </w:r>
      <w:r w:rsidRPr="00476F21">
        <w:rPr>
          <w:i/>
          <w:iCs/>
          <w:lang w:val="fr-FR"/>
        </w:rPr>
        <w:t>Contentieux de l</w:t>
      </w:r>
      <w:r w:rsidR="00D04C06" w:rsidRPr="00476F21">
        <w:rPr>
          <w:i/>
          <w:iCs/>
          <w:lang w:val="fr-FR"/>
        </w:rPr>
        <w:t>’</w:t>
      </w:r>
      <w:r w:rsidRPr="00476F21">
        <w:rPr>
          <w:i/>
          <w:iCs/>
          <w:lang w:val="fr-FR"/>
        </w:rPr>
        <w:t>Union européenne. Questions choisies</w:t>
      </w:r>
      <w:r w:rsidRPr="00476F21">
        <w:rPr>
          <w:lang w:val="fr-FR"/>
        </w:rPr>
        <w:t xml:space="preserve">, Larcier, </w:t>
      </w:r>
      <w:r w:rsidR="00D8679C" w:rsidRPr="00476F21">
        <w:rPr>
          <w:lang w:val="fr-FR"/>
        </w:rPr>
        <w:t>Bruxelles,</w:t>
      </w:r>
      <w:r w:rsidR="00D8679C" w:rsidRPr="008D58B7">
        <w:rPr>
          <w:lang w:val="en-US"/>
        </w:rPr>
        <w:t xml:space="preserve"> </w:t>
      </w:r>
      <w:r w:rsidRPr="008D58B7">
        <w:rPr>
          <w:lang w:val="en-US"/>
        </w:rPr>
        <w:t xml:space="preserve">2014, p. 17 ss.; M. </w:t>
      </w:r>
      <w:r w:rsidRPr="008D58B7">
        <w:rPr>
          <w:smallCaps/>
          <w:lang w:val="en-US"/>
        </w:rPr>
        <w:t>Bobek</w:t>
      </w:r>
      <w:r w:rsidRPr="008D58B7">
        <w:rPr>
          <w:lang w:val="en-US"/>
        </w:rPr>
        <w:t xml:space="preserve">, </w:t>
      </w:r>
      <w:r w:rsidRPr="008D58B7">
        <w:rPr>
          <w:i/>
          <w:iCs/>
          <w:lang w:val="en-US"/>
        </w:rPr>
        <w:t>A Fourth in the Court: Why Are There Advocates General in the Court of Justice?,</w:t>
      </w:r>
      <w:r w:rsidRPr="008D58B7">
        <w:rPr>
          <w:lang w:val="en-US"/>
        </w:rPr>
        <w:t xml:space="preserve"> in</w:t>
      </w:r>
      <w:r w:rsidRPr="00651730">
        <w:rPr>
          <w:i/>
          <w:iCs/>
          <w:lang w:val="en-US"/>
        </w:rPr>
        <w:t xml:space="preserve"> Cambridge Yearbook of European Legal Studies</w:t>
      </w:r>
      <w:r w:rsidRPr="00651730">
        <w:rPr>
          <w:lang w:val="en-US"/>
        </w:rPr>
        <w:t>, vol. 14</w:t>
      </w:r>
      <w:r w:rsidR="00D04C06" w:rsidRPr="00651730">
        <w:rPr>
          <w:lang w:val="en-US"/>
        </w:rPr>
        <w:t>,</w:t>
      </w:r>
      <w:r w:rsidRPr="00651730">
        <w:rPr>
          <w:lang w:val="en-US"/>
        </w:rPr>
        <w:t xml:space="preserve"> 2012, p. 529 ss</w:t>
      </w:r>
      <w:r w:rsidRPr="00651730">
        <w:rPr>
          <w:smallCaps/>
          <w:lang w:val="en-US"/>
        </w:rPr>
        <w:t>.;</w:t>
      </w:r>
      <w:r w:rsidR="00D04C06" w:rsidRPr="00651730">
        <w:rPr>
          <w:smallCaps/>
          <w:lang w:val="en-US"/>
        </w:rPr>
        <w:t xml:space="preserve"> </w:t>
      </w:r>
      <w:r w:rsidRPr="00651730">
        <w:rPr>
          <w:smallCaps/>
          <w:lang w:val="en-US"/>
        </w:rPr>
        <w:t>Id.,</w:t>
      </w:r>
      <w:r w:rsidRPr="00651730">
        <w:rPr>
          <w:lang w:val="en-US"/>
        </w:rPr>
        <w:t xml:space="preserve"> </w:t>
      </w:r>
      <w:r w:rsidRPr="00651730">
        <w:rPr>
          <w:i/>
          <w:iCs/>
          <w:lang w:val="en-US"/>
        </w:rPr>
        <w:t>Preliminary rulings before the General Court: What judicial architecture for the European Union?</w:t>
      </w:r>
      <w:r w:rsidRPr="00651730">
        <w:rPr>
          <w:lang w:val="en-US"/>
        </w:rPr>
        <w:t xml:space="preserve">, in </w:t>
      </w:r>
      <w:r w:rsidRPr="00651730">
        <w:rPr>
          <w:i/>
          <w:iCs/>
          <w:lang w:val="en-US"/>
        </w:rPr>
        <w:t>Common Market Law Review</w:t>
      </w:r>
      <w:r w:rsidRPr="00651730">
        <w:rPr>
          <w:lang w:val="en-US"/>
        </w:rPr>
        <w:t xml:space="preserve">, vol. 60, 2023, p. 1515 ss.; K. </w:t>
      </w:r>
      <w:r w:rsidRPr="008D58B7">
        <w:rPr>
          <w:smallCaps/>
          <w:lang w:val="en-US"/>
        </w:rPr>
        <w:t>Borgsmidt</w:t>
      </w:r>
      <w:r w:rsidRPr="008D58B7">
        <w:rPr>
          <w:lang w:val="en-US"/>
        </w:rPr>
        <w:t xml:space="preserve">, </w:t>
      </w:r>
      <w:r w:rsidRPr="00651730">
        <w:rPr>
          <w:i/>
          <w:lang w:val="en-US"/>
        </w:rPr>
        <w:t>The Advocate General at the European Court of Justice: a Comparative Study</w:t>
      </w:r>
      <w:r w:rsidRPr="00651730">
        <w:rPr>
          <w:lang w:val="en-US"/>
        </w:rPr>
        <w:t xml:space="preserve">, in </w:t>
      </w:r>
      <w:r w:rsidRPr="00651730">
        <w:rPr>
          <w:i/>
          <w:lang w:val="en-US"/>
        </w:rPr>
        <w:t>European Law Review</w:t>
      </w:r>
      <w:r w:rsidRPr="00651730">
        <w:rPr>
          <w:lang w:val="en-US"/>
        </w:rPr>
        <w:t xml:space="preserve">, 1988, p. 106 ss.; </w:t>
      </w:r>
      <w:r w:rsidRPr="00476F21">
        <w:t xml:space="preserve">M. </w:t>
      </w:r>
      <w:r w:rsidRPr="00476F21">
        <w:rPr>
          <w:smallCaps/>
        </w:rPr>
        <w:t>Borraccetti</w:t>
      </w:r>
      <w:r w:rsidRPr="00476F21">
        <w:t xml:space="preserve">, </w:t>
      </w:r>
      <w:r w:rsidRPr="00476F21">
        <w:rPr>
          <w:i/>
          <w:iCs/>
        </w:rPr>
        <w:t>L</w:t>
      </w:r>
      <w:r w:rsidR="00D04C06" w:rsidRPr="00476F21">
        <w:rPr>
          <w:i/>
          <w:iCs/>
        </w:rPr>
        <w:t>’</w:t>
      </w:r>
      <w:r w:rsidRPr="00476F21">
        <w:rPr>
          <w:i/>
          <w:iCs/>
        </w:rPr>
        <w:t>avvocato generale nella giurisdizione dell</w:t>
      </w:r>
      <w:r w:rsidR="00D04C06" w:rsidRPr="00476F21">
        <w:rPr>
          <w:i/>
          <w:iCs/>
        </w:rPr>
        <w:t>’</w:t>
      </w:r>
      <w:r w:rsidRPr="00476F21">
        <w:rPr>
          <w:i/>
          <w:iCs/>
        </w:rPr>
        <w:t>Unione Europea</w:t>
      </w:r>
      <w:r w:rsidRPr="00476F21">
        <w:t>, Editoriale scientifica, Napoli,</w:t>
      </w:r>
      <w:r w:rsidRPr="008D58B7">
        <w:rPr>
          <w:lang w:val="en-US"/>
        </w:rPr>
        <w:t xml:space="preserve"> 2011; </w:t>
      </w:r>
      <w:r w:rsidRPr="008D58B7">
        <w:rPr>
          <w:smallCaps/>
          <w:lang w:val="en-US"/>
        </w:rPr>
        <w:t>N. Burrows-R. Greaves</w:t>
      </w:r>
      <w:r w:rsidRPr="008D58B7">
        <w:rPr>
          <w:lang w:val="en-US"/>
        </w:rPr>
        <w:t xml:space="preserve">, </w:t>
      </w:r>
      <w:r w:rsidRPr="00651730">
        <w:rPr>
          <w:i/>
          <w:iCs/>
          <w:lang w:val="en-US"/>
        </w:rPr>
        <w:t>The Advocate General and EC Law</w:t>
      </w:r>
      <w:r w:rsidRPr="008D58B7">
        <w:rPr>
          <w:lang w:val="en-US"/>
        </w:rPr>
        <w:t xml:space="preserve">, OUP, Oxford, 2007; L. </w:t>
      </w:r>
      <w:r w:rsidRPr="008D58B7">
        <w:rPr>
          <w:smallCaps/>
          <w:lang w:val="en-US"/>
        </w:rPr>
        <w:t>Clément-Wilz</w:t>
      </w:r>
      <w:r w:rsidRPr="008D58B7">
        <w:rPr>
          <w:lang w:val="en-US"/>
        </w:rPr>
        <w:t>,</w:t>
      </w:r>
      <w:r w:rsidR="00D04C06" w:rsidRPr="008D58B7">
        <w:rPr>
          <w:lang w:val="en-US"/>
        </w:rPr>
        <w:t xml:space="preserve"> </w:t>
      </w:r>
      <w:r w:rsidRPr="008D58B7">
        <w:rPr>
          <w:i/>
          <w:iCs/>
          <w:lang w:val="en-US"/>
        </w:rPr>
        <w:t xml:space="preserve">La function de </w:t>
      </w:r>
      <w:proofErr w:type="spellStart"/>
      <w:r w:rsidRPr="008D58B7">
        <w:rPr>
          <w:i/>
          <w:iCs/>
          <w:lang w:val="en-US"/>
        </w:rPr>
        <w:t>l</w:t>
      </w:r>
      <w:r w:rsidR="00D04C06" w:rsidRPr="008D58B7">
        <w:rPr>
          <w:i/>
          <w:iCs/>
          <w:lang w:val="en-US"/>
        </w:rPr>
        <w:t>’</w:t>
      </w:r>
      <w:r w:rsidRPr="008D58B7">
        <w:rPr>
          <w:i/>
          <w:iCs/>
          <w:lang w:val="en-US"/>
        </w:rPr>
        <w:t>avocat</w:t>
      </w:r>
      <w:proofErr w:type="spellEnd"/>
      <w:r w:rsidRPr="008D58B7">
        <w:rPr>
          <w:i/>
          <w:iCs/>
          <w:lang w:val="en-US"/>
        </w:rPr>
        <w:t xml:space="preserve"> general près la Cour de justice, </w:t>
      </w:r>
      <w:proofErr w:type="spellStart"/>
      <w:r w:rsidRPr="008D58B7">
        <w:rPr>
          <w:lang w:val="en-US"/>
        </w:rPr>
        <w:t>Bruylant</w:t>
      </w:r>
      <w:proofErr w:type="spellEnd"/>
      <w:r w:rsidRPr="008D58B7">
        <w:rPr>
          <w:lang w:val="en-US"/>
        </w:rPr>
        <w:t xml:space="preserve">, </w:t>
      </w:r>
      <w:proofErr w:type="spellStart"/>
      <w:r w:rsidRPr="008D58B7">
        <w:rPr>
          <w:lang w:val="en-US"/>
        </w:rPr>
        <w:t>Bruxelles</w:t>
      </w:r>
      <w:proofErr w:type="spellEnd"/>
      <w:r w:rsidRPr="008D58B7">
        <w:rPr>
          <w:lang w:val="en-US"/>
        </w:rPr>
        <w:t xml:space="preserve">, 2011; </w:t>
      </w:r>
      <w:r w:rsidRPr="008D58B7">
        <w:rPr>
          <w:smallCaps/>
          <w:lang w:val="en-US"/>
        </w:rPr>
        <w:t>Id</w:t>
      </w:r>
      <w:r w:rsidRPr="008D58B7">
        <w:rPr>
          <w:lang w:val="en-US"/>
        </w:rPr>
        <w:t xml:space="preserve">., </w:t>
      </w:r>
      <w:r w:rsidRPr="008D58B7">
        <w:rPr>
          <w:i/>
          <w:iCs/>
          <w:lang w:val="en-US"/>
        </w:rPr>
        <w:t>The Advocate General: A Key Actor of the Court of Justice of the European Union</w:t>
      </w:r>
      <w:r w:rsidRPr="008D58B7">
        <w:rPr>
          <w:lang w:val="en-US"/>
        </w:rPr>
        <w:t xml:space="preserve">, in </w:t>
      </w:r>
      <w:bookmarkStart w:id="7" w:name="_Hlk154762101"/>
      <w:r w:rsidRPr="008D58B7">
        <w:rPr>
          <w:i/>
          <w:iCs/>
          <w:lang w:val="en-US"/>
        </w:rPr>
        <w:t>Cambridge Yearbook of European Legal Studies</w:t>
      </w:r>
      <w:r w:rsidRPr="008D58B7">
        <w:rPr>
          <w:lang w:val="en-US"/>
        </w:rPr>
        <w:t>, vol. 14</w:t>
      </w:r>
      <w:r w:rsidR="00D04C06" w:rsidRPr="008D58B7">
        <w:rPr>
          <w:lang w:val="en-US"/>
        </w:rPr>
        <w:t>,</w:t>
      </w:r>
      <w:r w:rsidRPr="008D58B7">
        <w:rPr>
          <w:lang w:val="en-US"/>
        </w:rPr>
        <w:t xml:space="preserve"> 2012</w:t>
      </w:r>
      <w:r w:rsidR="00D04C06" w:rsidRPr="008D58B7">
        <w:rPr>
          <w:lang w:val="en-US"/>
        </w:rPr>
        <w:t>,</w:t>
      </w:r>
      <w:r w:rsidRPr="008D58B7">
        <w:rPr>
          <w:lang w:val="en-US"/>
        </w:rPr>
        <w:t xml:space="preserve"> p</w:t>
      </w:r>
      <w:bookmarkEnd w:id="7"/>
      <w:r w:rsidRPr="008D58B7">
        <w:rPr>
          <w:lang w:val="en-US"/>
        </w:rPr>
        <w:t xml:space="preserve">. 587 ss.; M. </w:t>
      </w:r>
      <w:r w:rsidRPr="00476F21">
        <w:rPr>
          <w:smallCaps/>
        </w:rPr>
        <w:t>Condinanzi</w:t>
      </w:r>
      <w:r w:rsidRPr="00476F21">
        <w:t xml:space="preserve">, </w:t>
      </w:r>
      <w:r w:rsidRPr="00476F21">
        <w:rPr>
          <w:i/>
          <w:iCs/>
        </w:rPr>
        <w:t>Il tribunale di primo grado e la giurisdizione comunitaria</w:t>
      </w:r>
      <w:r w:rsidRPr="00476F21">
        <w:t>, Giuffrè, Milano, 1996</w:t>
      </w:r>
      <w:r w:rsidRPr="00476F21">
        <w:rPr>
          <w:smallCaps/>
        </w:rPr>
        <w:t>; Id</w:t>
      </w:r>
      <w:r w:rsidRPr="00476F21">
        <w:rPr>
          <w:i/>
          <w:iCs/>
        </w:rPr>
        <w:t>.</w:t>
      </w:r>
      <w:r w:rsidRPr="00476F21">
        <w:rPr>
          <w:iCs/>
        </w:rPr>
        <w:t>,</w:t>
      </w:r>
      <w:r w:rsidRPr="00476F21">
        <w:rPr>
          <w:i/>
          <w:iCs/>
        </w:rPr>
        <w:t xml:space="preserve"> Ar</w:t>
      </w:r>
      <w:r w:rsidRPr="00476F21">
        <w:rPr>
          <w:i/>
        </w:rPr>
        <w:t>tt. 254, 255 e 256 TFUE</w:t>
      </w:r>
      <w:r w:rsidRPr="00476F21">
        <w:t xml:space="preserve">, in A. </w:t>
      </w:r>
      <w:r w:rsidRPr="00476F21">
        <w:rPr>
          <w:smallCaps/>
        </w:rPr>
        <w:t>Tizzano</w:t>
      </w:r>
      <w:r w:rsidRPr="00476F21">
        <w:t xml:space="preserve"> (a cura di), </w:t>
      </w:r>
      <w:r w:rsidRPr="00476F21">
        <w:rPr>
          <w:i/>
        </w:rPr>
        <w:t>Trattati dell</w:t>
      </w:r>
      <w:r w:rsidR="00D04C06" w:rsidRPr="00476F21">
        <w:rPr>
          <w:i/>
        </w:rPr>
        <w:t>’</w:t>
      </w:r>
      <w:r w:rsidRPr="00476F21">
        <w:rPr>
          <w:i/>
        </w:rPr>
        <w:t>Unione europea</w:t>
      </w:r>
      <w:r w:rsidRPr="00476F21">
        <w:t>, II ed., Giuffrè, Milano</w:t>
      </w:r>
      <w:r w:rsidRPr="008D58B7">
        <w:rPr>
          <w:lang w:val="en-US"/>
        </w:rPr>
        <w:t xml:space="preserve">, 2014, p. 1958 ss.; </w:t>
      </w:r>
      <w:r w:rsidRPr="008D58B7">
        <w:rPr>
          <w:smallCaps/>
          <w:lang w:val="en-US"/>
        </w:rPr>
        <w:t>P. Craig</w:t>
      </w:r>
      <w:r w:rsidRPr="008D58B7">
        <w:rPr>
          <w:lang w:val="en-US"/>
        </w:rPr>
        <w:t xml:space="preserve">, </w:t>
      </w:r>
      <w:r w:rsidRPr="00651730">
        <w:rPr>
          <w:i/>
          <w:iCs/>
          <w:lang w:val="en-US"/>
        </w:rPr>
        <w:t xml:space="preserve">The faceless court? </w:t>
      </w:r>
      <w:r w:rsidRPr="008847CE">
        <w:rPr>
          <w:i/>
          <w:iCs/>
          <w:lang w:val="en-GB"/>
        </w:rPr>
        <w:t>The role of individual CJEU members</w:t>
      </w:r>
      <w:r w:rsidRPr="008847CE">
        <w:rPr>
          <w:lang w:val="en-GB"/>
        </w:rPr>
        <w:t xml:space="preserve">, in </w:t>
      </w:r>
      <w:r w:rsidRPr="008847CE">
        <w:rPr>
          <w:i/>
          <w:iCs/>
          <w:lang w:val="en-GB"/>
        </w:rPr>
        <w:t>Maastricht Journal of European and Comparative Law</w:t>
      </w:r>
      <w:r w:rsidRPr="008847CE">
        <w:rPr>
          <w:lang w:val="en-GB"/>
        </w:rPr>
        <w:t xml:space="preserve">, 2023, p. 15 ss.; </w:t>
      </w:r>
      <w:r w:rsidRPr="008847CE">
        <w:rPr>
          <w:smallCaps/>
          <w:lang w:val="en-GB"/>
        </w:rPr>
        <w:t>A. Dashwood-A. Johnston (</w:t>
      </w:r>
      <w:r w:rsidRPr="008847CE">
        <w:rPr>
          <w:lang w:val="en-GB"/>
        </w:rPr>
        <w:t>eds</w:t>
      </w:r>
      <w:r w:rsidR="00D8679C">
        <w:rPr>
          <w:lang w:val="en-GB"/>
        </w:rPr>
        <w:t>.</w:t>
      </w:r>
      <w:r w:rsidRPr="008847CE">
        <w:rPr>
          <w:lang w:val="en-GB"/>
        </w:rPr>
        <w:t xml:space="preserve">), </w:t>
      </w:r>
      <w:r w:rsidRPr="008847CE">
        <w:rPr>
          <w:i/>
          <w:iCs/>
          <w:lang w:val="en-GB"/>
        </w:rPr>
        <w:t>The Future of the Judicial System of the European Union</w:t>
      </w:r>
      <w:r w:rsidRPr="008847CE">
        <w:rPr>
          <w:lang w:val="en-GB"/>
        </w:rPr>
        <w:t>, Hart Publishing, Oxford, Portland</w:t>
      </w:r>
      <w:r w:rsidRPr="004050C9">
        <w:rPr>
          <w:lang w:val="en-US"/>
        </w:rPr>
        <w:t xml:space="preserve">, Oregon, 2001; D. </w:t>
      </w:r>
      <w:r w:rsidRPr="004050C9">
        <w:rPr>
          <w:smallCaps/>
          <w:lang w:val="en-US"/>
        </w:rPr>
        <w:t>Dero-</w:t>
      </w:r>
      <w:proofErr w:type="spellStart"/>
      <w:r w:rsidRPr="004050C9">
        <w:rPr>
          <w:smallCaps/>
          <w:lang w:val="en-US"/>
        </w:rPr>
        <w:t>Bugny</w:t>
      </w:r>
      <w:proofErr w:type="spellEnd"/>
      <w:r w:rsidRPr="004050C9">
        <w:rPr>
          <w:smallCaps/>
          <w:lang w:val="en-US"/>
        </w:rPr>
        <w:t xml:space="preserve">-A. </w:t>
      </w:r>
      <w:r w:rsidRPr="00213335">
        <w:rPr>
          <w:smallCaps/>
          <w:lang w:val="fr-BE"/>
        </w:rPr>
        <w:t>Cartier Bresson</w:t>
      </w:r>
      <w:r w:rsidRPr="00213335">
        <w:rPr>
          <w:lang w:val="fr-BE"/>
        </w:rPr>
        <w:t xml:space="preserve">, </w:t>
      </w:r>
      <w:r w:rsidRPr="00853B2F">
        <w:rPr>
          <w:i/>
          <w:lang w:val="fr-BE"/>
        </w:rPr>
        <w:t>Les réformes de la Cour de justice de l</w:t>
      </w:r>
      <w:r w:rsidR="00D04C06" w:rsidRPr="00853B2F">
        <w:rPr>
          <w:i/>
          <w:lang w:val="fr-BE"/>
        </w:rPr>
        <w:t>’</w:t>
      </w:r>
      <w:r w:rsidRPr="00853B2F">
        <w:rPr>
          <w:i/>
          <w:lang w:val="fr-BE"/>
        </w:rPr>
        <w:t>Union européenne</w:t>
      </w:r>
      <w:r w:rsidRPr="00213335">
        <w:rPr>
          <w:lang w:val="fr-BE"/>
        </w:rPr>
        <w:t>, Br</w:t>
      </w:r>
      <w:r>
        <w:rPr>
          <w:lang w:val="fr-BE"/>
        </w:rPr>
        <w:t>u</w:t>
      </w:r>
      <w:r w:rsidRPr="00213335">
        <w:rPr>
          <w:lang w:val="fr-BE"/>
        </w:rPr>
        <w:t>ylant, Bruxelles, 2020; M</w:t>
      </w:r>
      <w:r w:rsidRPr="00213335">
        <w:rPr>
          <w:smallCaps/>
          <w:lang w:val="fr-BE"/>
        </w:rPr>
        <w:t xml:space="preserve">. </w:t>
      </w:r>
      <w:proofErr w:type="spellStart"/>
      <w:r w:rsidRPr="00213335">
        <w:rPr>
          <w:smallCaps/>
          <w:lang w:val="fr-BE"/>
        </w:rPr>
        <w:t>Dony</w:t>
      </w:r>
      <w:proofErr w:type="spellEnd"/>
      <w:r>
        <w:rPr>
          <w:smallCaps/>
          <w:lang w:val="fr-BE"/>
        </w:rPr>
        <w:t>-</w:t>
      </w:r>
      <w:r w:rsidRPr="00213335">
        <w:rPr>
          <w:smallCaps/>
          <w:lang w:val="fr-BE"/>
        </w:rPr>
        <w:t xml:space="preserve">E. </w:t>
      </w:r>
      <w:proofErr w:type="spellStart"/>
      <w:r w:rsidRPr="00CD0654">
        <w:rPr>
          <w:smallCaps/>
          <w:lang w:val="fr-BE"/>
        </w:rPr>
        <w:t>Bribosia</w:t>
      </w:r>
      <w:proofErr w:type="spellEnd"/>
      <w:r w:rsidRPr="00CD0654">
        <w:rPr>
          <w:lang w:val="fr-BE"/>
        </w:rPr>
        <w:t xml:space="preserve"> (</w:t>
      </w:r>
      <w:proofErr w:type="spellStart"/>
      <w:r w:rsidRPr="00CD0654">
        <w:rPr>
          <w:lang w:val="fr-BE"/>
        </w:rPr>
        <w:t>eds</w:t>
      </w:r>
      <w:proofErr w:type="spellEnd"/>
      <w:r w:rsidR="00D8679C" w:rsidRPr="00CD0654">
        <w:rPr>
          <w:lang w:val="fr-BE"/>
        </w:rPr>
        <w:t>.</w:t>
      </w:r>
      <w:r w:rsidRPr="00CD0654">
        <w:rPr>
          <w:lang w:val="fr-BE"/>
        </w:rPr>
        <w:t xml:space="preserve">), </w:t>
      </w:r>
      <w:r w:rsidRPr="00CD0654">
        <w:rPr>
          <w:i/>
          <w:lang w:val="fr-BE"/>
        </w:rPr>
        <w:t>L</w:t>
      </w:r>
      <w:r w:rsidR="00D04C06" w:rsidRPr="00CD0654">
        <w:rPr>
          <w:i/>
          <w:lang w:val="fr-BE"/>
        </w:rPr>
        <w:t>’</w:t>
      </w:r>
      <w:r w:rsidRPr="00CD0654">
        <w:rPr>
          <w:i/>
          <w:lang w:val="fr-BE"/>
        </w:rPr>
        <w:t>avenir du système juridictionnel de l</w:t>
      </w:r>
      <w:r w:rsidR="00D04C06" w:rsidRPr="00CD0654">
        <w:rPr>
          <w:i/>
          <w:lang w:val="fr-BE"/>
        </w:rPr>
        <w:t>’</w:t>
      </w:r>
      <w:r w:rsidRPr="00CD0654">
        <w:rPr>
          <w:i/>
          <w:lang w:val="fr-BE"/>
        </w:rPr>
        <w:t>Union européenne</w:t>
      </w:r>
      <w:r w:rsidRPr="00CD0654">
        <w:rPr>
          <w:lang w:val="fr-BE"/>
        </w:rPr>
        <w:t>,</w:t>
      </w:r>
      <w:r w:rsidR="00BE60D4" w:rsidRPr="00CD0654">
        <w:rPr>
          <w:rFonts w:ascii="Calibri" w:eastAsia="PMingLiU" w:hAnsi="Calibri" w:cs="Times New Roman"/>
          <w:noProof/>
          <w:sz w:val="22"/>
          <w:lang w:val="fr-BE" w:eastAsia="zh-TW"/>
        </w:rPr>
        <w:t xml:space="preserve"> </w:t>
      </w:r>
      <w:r w:rsidR="00BE60D4" w:rsidRPr="00F9613A">
        <w:rPr>
          <w:lang w:val="fr-BE"/>
        </w:rPr>
        <w:t>Éditions de l</w:t>
      </w:r>
      <w:r w:rsidR="00F9613A">
        <w:rPr>
          <w:lang w:val="fr-BE"/>
        </w:rPr>
        <w:t>’</w:t>
      </w:r>
      <w:r w:rsidR="00BE60D4" w:rsidRPr="00F9613A">
        <w:rPr>
          <w:lang w:val="fr-BE"/>
        </w:rPr>
        <w:t>Université de Bruxelles</w:t>
      </w:r>
      <w:r w:rsidRPr="00CD0654">
        <w:rPr>
          <w:lang w:val="fr-BE"/>
        </w:rPr>
        <w:t xml:space="preserve"> </w:t>
      </w:r>
      <w:r w:rsidR="00D8679C" w:rsidRPr="00CD0654">
        <w:rPr>
          <w:lang w:val="fr-BE"/>
        </w:rPr>
        <w:t xml:space="preserve">, </w:t>
      </w:r>
      <w:r w:rsidRPr="00CD0654">
        <w:rPr>
          <w:lang w:val="fr-BE"/>
        </w:rPr>
        <w:t xml:space="preserve">Bruxelles, 2002; N. </w:t>
      </w:r>
      <w:proofErr w:type="spellStart"/>
      <w:r w:rsidRPr="00CD0654">
        <w:rPr>
          <w:smallCaps/>
          <w:lang w:val="fr-BE"/>
        </w:rPr>
        <w:t>Forwood</w:t>
      </w:r>
      <w:proofErr w:type="spellEnd"/>
      <w:r w:rsidRPr="00CD0654">
        <w:rPr>
          <w:lang w:val="fr-BE"/>
        </w:rPr>
        <w:t xml:space="preserve">, </w:t>
      </w:r>
      <w:r w:rsidRPr="00476F21">
        <w:rPr>
          <w:i/>
          <w:lang w:val="en-GB"/>
        </w:rPr>
        <w:t>The evolving Role of the Cour of First Instance of the European Communities</w:t>
      </w:r>
      <w:r w:rsidRPr="00476F21">
        <w:rPr>
          <w:lang w:val="en-GB"/>
        </w:rPr>
        <w:t xml:space="preserve">, in </w:t>
      </w:r>
      <w:r w:rsidRPr="00476F21">
        <w:rPr>
          <w:smallCaps/>
          <w:lang w:val="en-GB"/>
        </w:rPr>
        <w:t xml:space="preserve">A. Dashwood-J. Spencer-A. Ward-C. </w:t>
      </w:r>
      <w:proofErr w:type="spellStart"/>
      <w:r w:rsidRPr="00476F21">
        <w:rPr>
          <w:smallCaps/>
          <w:lang w:val="en-GB"/>
        </w:rPr>
        <w:t>Hillion</w:t>
      </w:r>
      <w:proofErr w:type="spellEnd"/>
      <w:r w:rsidRPr="00476F21">
        <w:rPr>
          <w:smallCaps/>
          <w:lang w:val="en-GB"/>
        </w:rPr>
        <w:t xml:space="preserve"> (</w:t>
      </w:r>
      <w:r w:rsidRPr="00476F21">
        <w:rPr>
          <w:lang w:val="en-GB"/>
        </w:rPr>
        <w:t>eds</w:t>
      </w:r>
      <w:r w:rsidRPr="00476F21">
        <w:rPr>
          <w:smallCaps/>
          <w:lang w:val="en-GB"/>
        </w:rPr>
        <w:t>.)</w:t>
      </w:r>
      <w:r w:rsidRPr="00476F21">
        <w:rPr>
          <w:lang w:val="en-GB"/>
        </w:rPr>
        <w:t xml:space="preserve">, </w:t>
      </w:r>
      <w:r w:rsidRPr="00476F21">
        <w:rPr>
          <w:i/>
          <w:iCs/>
          <w:lang w:val="en-GB"/>
        </w:rPr>
        <w:t>The Cambridge Yearbook of European Law</w:t>
      </w:r>
      <w:r w:rsidRPr="00476F21">
        <w:rPr>
          <w:lang w:val="en-GB"/>
        </w:rPr>
        <w:t xml:space="preserve">, vol. 3 (2000), </w:t>
      </w:r>
      <w:r w:rsidR="00CD0654" w:rsidRPr="00476F21">
        <w:rPr>
          <w:lang w:val="en-GB"/>
        </w:rPr>
        <w:t>OUP</w:t>
      </w:r>
      <w:r w:rsidR="00D8679C" w:rsidRPr="00476F21">
        <w:rPr>
          <w:lang w:val="en-GB"/>
        </w:rPr>
        <w:t xml:space="preserve">, </w:t>
      </w:r>
      <w:r w:rsidRPr="00476F21">
        <w:rPr>
          <w:lang w:val="en-GB"/>
        </w:rPr>
        <w:t xml:space="preserve">Oxford, 2001, p. 139 ss.; </w:t>
      </w:r>
      <w:r w:rsidRPr="00476F21">
        <w:rPr>
          <w:smallCaps/>
          <w:lang w:val="en-GB"/>
        </w:rPr>
        <w:t>S. Iglesias-Sanchez</w:t>
      </w:r>
      <w:r w:rsidRPr="00476F21">
        <w:rPr>
          <w:lang w:val="en-GB"/>
        </w:rPr>
        <w:t xml:space="preserve">, </w:t>
      </w:r>
      <w:r w:rsidRPr="00476F21">
        <w:rPr>
          <w:i/>
          <w:lang w:val="en-GB"/>
        </w:rPr>
        <w:t>Preliminary Rulings before the General Court</w:t>
      </w:r>
      <w:r w:rsidRPr="00476F21">
        <w:rPr>
          <w:lang w:val="en-GB"/>
        </w:rPr>
        <w:t xml:space="preserve">, in </w:t>
      </w:r>
      <w:r w:rsidRPr="00476F21">
        <w:rPr>
          <w:i/>
          <w:iCs/>
          <w:lang w:val="en-GB"/>
        </w:rPr>
        <w:t>EU Law Live</w:t>
      </w:r>
      <w:r w:rsidRPr="00651730">
        <w:rPr>
          <w:lang w:val="fr-BE"/>
        </w:rPr>
        <w:t xml:space="preserve">, n. 125, 17 </w:t>
      </w:r>
      <w:proofErr w:type="spellStart"/>
      <w:r w:rsidRPr="00651730">
        <w:rPr>
          <w:lang w:val="fr-BE"/>
        </w:rPr>
        <w:t>dicembre</w:t>
      </w:r>
      <w:proofErr w:type="spellEnd"/>
      <w:r w:rsidRPr="00651730">
        <w:rPr>
          <w:lang w:val="fr-BE"/>
        </w:rPr>
        <w:t xml:space="preserve"> 2022; J.P. </w:t>
      </w:r>
      <w:proofErr w:type="spellStart"/>
      <w:r w:rsidRPr="00651730">
        <w:rPr>
          <w:smallCaps/>
          <w:lang w:val="fr-BE"/>
        </w:rPr>
        <w:t>Jacqué</w:t>
      </w:r>
      <w:proofErr w:type="spellEnd"/>
      <w:r w:rsidRPr="00651730">
        <w:rPr>
          <w:lang w:val="fr-BE"/>
        </w:rPr>
        <w:t>,</w:t>
      </w:r>
      <w:r w:rsidRPr="00651730">
        <w:rPr>
          <w:i/>
          <w:lang w:val="fr-BE"/>
        </w:rPr>
        <w:t xml:space="preserve"> L</w:t>
      </w:r>
      <w:r w:rsidR="00D04C06" w:rsidRPr="00651730">
        <w:rPr>
          <w:i/>
          <w:lang w:val="fr-BE"/>
        </w:rPr>
        <w:t>’</w:t>
      </w:r>
      <w:r w:rsidRPr="00651730">
        <w:rPr>
          <w:i/>
          <w:lang w:val="fr-BE"/>
        </w:rPr>
        <w:t>avenir de l</w:t>
      </w:r>
      <w:r w:rsidR="00D04C06" w:rsidRPr="00651730">
        <w:rPr>
          <w:i/>
          <w:lang w:val="fr-BE"/>
        </w:rPr>
        <w:t>’</w:t>
      </w:r>
      <w:r w:rsidRPr="00651730">
        <w:rPr>
          <w:i/>
          <w:lang w:val="fr-BE"/>
        </w:rPr>
        <w:t>architecture juridictionnelle de l</w:t>
      </w:r>
      <w:r w:rsidR="00D04C06" w:rsidRPr="00651730">
        <w:rPr>
          <w:i/>
          <w:lang w:val="fr-BE"/>
        </w:rPr>
        <w:t>’</w:t>
      </w:r>
      <w:r w:rsidRPr="00651730">
        <w:rPr>
          <w:i/>
          <w:lang w:val="fr-BE"/>
        </w:rPr>
        <w:t>Union</w:t>
      </w:r>
      <w:r w:rsidRPr="00651730">
        <w:rPr>
          <w:lang w:val="fr-BE"/>
        </w:rPr>
        <w:t xml:space="preserve">, in </w:t>
      </w:r>
      <w:r w:rsidRPr="00651730">
        <w:rPr>
          <w:i/>
          <w:lang w:val="fr-BE"/>
        </w:rPr>
        <w:t>Revue trimestrielle de droit européen</w:t>
      </w:r>
      <w:r w:rsidRPr="00651730">
        <w:rPr>
          <w:lang w:val="fr-BE"/>
        </w:rPr>
        <w:t xml:space="preserve">, 1999, p. 443 </w:t>
      </w:r>
      <w:proofErr w:type="spellStart"/>
      <w:r w:rsidRPr="00651730">
        <w:rPr>
          <w:lang w:val="fr-BE"/>
        </w:rPr>
        <w:t>ss</w:t>
      </w:r>
      <w:proofErr w:type="spellEnd"/>
      <w:r w:rsidRPr="00651730">
        <w:rPr>
          <w:lang w:val="fr-BE"/>
        </w:rPr>
        <w:t xml:space="preserve">.; A. </w:t>
      </w:r>
      <w:r w:rsidRPr="00651730">
        <w:rPr>
          <w:smallCaps/>
          <w:lang w:val="fr-BE"/>
        </w:rPr>
        <w:t>Johnston</w:t>
      </w:r>
      <w:r w:rsidRPr="00651730">
        <w:rPr>
          <w:lang w:val="fr-BE"/>
        </w:rPr>
        <w:t xml:space="preserve">, </w:t>
      </w:r>
      <w:proofErr w:type="spellStart"/>
      <w:r w:rsidRPr="00651730">
        <w:rPr>
          <w:i/>
          <w:lang w:val="fr-BE"/>
        </w:rPr>
        <w:t>Judicial</w:t>
      </w:r>
      <w:proofErr w:type="spellEnd"/>
      <w:r w:rsidRPr="00651730">
        <w:rPr>
          <w:i/>
          <w:lang w:val="fr-BE"/>
        </w:rPr>
        <w:t xml:space="preserve"> Reform and the </w:t>
      </w:r>
      <w:proofErr w:type="spellStart"/>
      <w:r w:rsidRPr="00651730">
        <w:rPr>
          <w:i/>
          <w:lang w:val="fr-BE"/>
        </w:rPr>
        <w:t>Treaty</w:t>
      </w:r>
      <w:proofErr w:type="spellEnd"/>
      <w:r w:rsidRPr="00651730">
        <w:rPr>
          <w:i/>
          <w:lang w:val="fr-BE"/>
        </w:rPr>
        <w:t xml:space="preserve"> of Nice</w:t>
      </w:r>
      <w:r w:rsidRPr="00651730">
        <w:rPr>
          <w:lang w:val="fr-BE"/>
        </w:rPr>
        <w:t xml:space="preserve">, in </w:t>
      </w:r>
      <w:r w:rsidRPr="00651730">
        <w:rPr>
          <w:i/>
          <w:lang w:val="fr-BE"/>
        </w:rPr>
        <w:t xml:space="preserve">Common </w:t>
      </w:r>
      <w:proofErr w:type="spellStart"/>
      <w:r w:rsidRPr="00651730">
        <w:rPr>
          <w:i/>
          <w:lang w:val="fr-BE"/>
        </w:rPr>
        <w:t>Market</w:t>
      </w:r>
      <w:proofErr w:type="spellEnd"/>
      <w:r w:rsidRPr="00651730">
        <w:rPr>
          <w:i/>
          <w:lang w:val="fr-BE"/>
        </w:rPr>
        <w:t xml:space="preserve"> Law </w:t>
      </w:r>
      <w:proofErr w:type="spellStart"/>
      <w:r w:rsidRPr="00651730">
        <w:rPr>
          <w:i/>
          <w:lang w:val="fr-BE"/>
        </w:rPr>
        <w:t>Review</w:t>
      </w:r>
      <w:proofErr w:type="spellEnd"/>
      <w:r w:rsidRPr="00651730">
        <w:rPr>
          <w:lang w:val="fr-BE"/>
        </w:rPr>
        <w:t xml:space="preserve">, 2001, p. 499 </w:t>
      </w:r>
      <w:proofErr w:type="spellStart"/>
      <w:r w:rsidRPr="00651730">
        <w:rPr>
          <w:lang w:val="fr-BE"/>
        </w:rPr>
        <w:t>ss</w:t>
      </w:r>
      <w:proofErr w:type="spellEnd"/>
      <w:r w:rsidRPr="00651730">
        <w:rPr>
          <w:lang w:val="fr-BE"/>
        </w:rPr>
        <w:t xml:space="preserve">.; </w:t>
      </w:r>
      <w:r w:rsidRPr="00651730">
        <w:rPr>
          <w:smallCaps/>
          <w:lang w:val="fr-BE"/>
        </w:rPr>
        <w:t>M. Lagrange</w:t>
      </w:r>
      <w:r w:rsidRPr="00651730">
        <w:rPr>
          <w:lang w:val="fr-BE"/>
        </w:rPr>
        <w:t xml:space="preserve">, </w:t>
      </w:r>
      <w:r w:rsidRPr="00651730">
        <w:rPr>
          <w:i/>
          <w:iCs/>
          <w:lang w:val="fr-BE"/>
        </w:rPr>
        <w:t>La Cour de justice des Communautés européennes: du plan Schuman à l</w:t>
      </w:r>
      <w:r w:rsidR="00D04C06" w:rsidRPr="00651730">
        <w:rPr>
          <w:i/>
          <w:iCs/>
          <w:lang w:val="fr-BE"/>
        </w:rPr>
        <w:t>’</w:t>
      </w:r>
      <w:r w:rsidRPr="00651730">
        <w:rPr>
          <w:i/>
          <w:iCs/>
          <w:lang w:val="fr-BE"/>
        </w:rPr>
        <w:t>Union européenne,</w:t>
      </w:r>
      <w:r w:rsidRPr="00651730">
        <w:rPr>
          <w:lang w:val="fr-BE"/>
        </w:rPr>
        <w:t xml:space="preserve"> in </w:t>
      </w:r>
      <w:r w:rsidRPr="00651730">
        <w:rPr>
          <w:i/>
          <w:iCs/>
          <w:lang w:val="fr-BE"/>
        </w:rPr>
        <w:t>Revue trimestrielle de droit européen</w:t>
      </w:r>
      <w:r w:rsidRPr="00651730">
        <w:rPr>
          <w:lang w:val="fr-BE"/>
        </w:rPr>
        <w:t xml:space="preserve">, 1978, p. 9 </w:t>
      </w:r>
      <w:proofErr w:type="spellStart"/>
      <w:r w:rsidRPr="00651730">
        <w:rPr>
          <w:lang w:val="fr-BE"/>
        </w:rPr>
        <w:t>ss</w:t>
      </w:r>
      <w:proofErr w:type="spellEnd"/>
      <w:r w:rsidRPr="00651730">
        <w:rPr>
          <w:lang w:val="fr-BE"/>
        </w:rPr>
        <w:t xml:space="preserve">.; N. </w:t>
      </w:r>
      <w:proofErr w:type="spellStart"/>
      <w:r w:rsidRPr="00651730">
        <w:rPr>
          <w:smallCaps/>
          <w:lang w:val="fr-BE"/>
        </w:rPr>
        <w:t>Lavranos</w:t>
      </w:r>
      <w:proofErr w:type="spellEnd"/>
      <w:r w:rsidRPr="00651730">
        <w:rPr>
          <w:lang w:val="fr-BE"/>
        </w:rPr>
        <w:t xml:space="preserve">, </w:t>
      </w:r>
      <w:r w:rsidRPr="00476F21">
        <w:rPr>
          <w:i/>
          <w:lang w:val="en-GB"/>
        </w:rPr>
        <w:t>The new specialised courts within the European judicial system</w:t>
      </w:r>
      <w:r w:rsidRPr="00476F21">
        <w:rPr>
          <w:lang w:val="en-GB"/>
        </w:rPr>
        <w:t xml:space="preserve">, in </w:t>
      </w:r>
      <w:r w:rsidRPr="00476F21">
        <w:rPr>
          <w:i/>
          <w:lang w:val="en-GB"/>
        </w:rPr>
        <w:t>European Law Rev</w:t>
      </w:r>
      <w:r w:rsidRPr="00476F21">
        <w:rPr>
          <w:lang w:val="en-GB"/>
        </w:rPr>
        <w:t>iew, 2005, p. 261 ss.; K</w:t>
      </w:r>
      <w:r w:rsidRPr="00476F21">
        <w:rPr>
          <w:smallCaps/>
          <w:lang w:val="en-GB"/>
        </w:rPr>
        <w:t>. Lenaerts</w:t>
      </w:r>
      <w:r w:rsidRPr="00476F21">
        <w:rPr>
          <w:lang w:val="en-GB"/>
        </w:rPr>
        <w:t xml:space="preserve">, </w:t>
      </w:r>
      <w:r w:rsidRPr="00476F21">
        <w:rPr>
          <w:i/>
          <w:lang w:val="en-GB"/>
        </w:rPr>
        <w:t xml:space="preserve">The rule of law and the coherence of the </w:t>
      </w:r>
      <w:proofErr w:type="spellStart"/>
      <w:r w:rsidRPr="00476F21">
        <w:rPr>
          <w:i/>
          <w:lang w:val="en-GB"/>
        </w:rPr>
        <w:t>judical</w:t>
      </w:r>
      <w:proofErr w:type="spellEnd"/>
      <w:r w:rsidRPr="00476F21">
        <w:rPr>
          <w:i/>
          <w:lang w:val="en-GB"/>
        </w:rPr>
        <w:t xml:space="preserve"> system of the European Union</w:t>
      </w:r>
      <w:r w:rsidRPr="00476F21">
        <w:rPr>
          <w:lang w:val="en-GB"/>
        </w:rPr>
        <w:t xml:space="preserve">, in </w:t>
      </w:r>
      <w:r w:rsidRPr="00476F21">
        <w:rPr>
          <w:i/>
          <w:lang w:val="en-GB"/>
        </w:rPr>
        <w:t>Common Market Law Review</w:t>
      </w:r>
      <w:r w:rsidRPr="00476F21">
        <w:rPr>
          <w:lang w:val="en-GB"/>
        </w:rPr>
        <w:t>, 2007, p. 1625 ss.;</w:t>
      </w:r>
      <w:r w:rsidR="00B271FB" w:rsidRPr="00476F21">
        <w:rPr>
          <w:rFonts w:ascii="Times New Roman" w:eastAsia="Times New Roman" w:hAnsi="Times New Roman" w:cs="Times New Roman"/>
          <w:smallCaps/>
          <w:color w:val="000000"/>
          <w:sz w:val="22"/>
          <w:lang w:val="en-GB" w:eastAsia="fr-BE"/>
        </w:rPr>
        <w:t xml:space="preserve"> </w:t>
      </w:r>
      <w:r w:rsidR="00B615B2" w:rsidRPr="00476F21">
        <w:rPr>
          <w:rFonts w:ascii="Times New Roman" w:eastAsia="Times New Roman" w:hAnsi="Times New Roman" w:cs="Times New Roman"/>
          <w:smallCaps/>
          <w:color w:val="000000"/>
          <w:sz w:val="22"/>
          <w:lang w:val="en-GB" w:eastAsia="fr-BE"/>
        </w:rPr>
        <w:t xml:space="preserve">K. Lenaerts </w:t>
      </w:r>
      <w:r w:rsidR="00B271FB" w:rsidRPr="00476F21">
        <w:rPr>
          <w:i/>
          <w:iCs/>
          <w:lang w:val="en-GB"/>
        </w:rPr>
        <w:t>et al.</w:t>
      </w:r>
      <w:r w:rsidR="00B271FB" w:rsidRPr="00476F21">
        <w:rPr>
          <w:lang w:val="en-GB"/>
        </w:rPr>
        <w:t>,</w:t>
      </w:r>
      <w:r w:rsidR="00F9613A" w:rsidRPr="00476F21">
        <w:rPr>
          <w:lang w:val="en-GB"/>
        </w:rPr>
        <w:t xml:space="preserve"> </w:t>
      </w:r>
      <w:r w:rsidR="00B271FB" w:rsidRPr="00476F21">
        <w:rPr>
          <w:i/>
          <w:iCs/>
          <w:lang w:val="en-GB"/>
        </w:rPr>
        <w:t>EU Procedural Law,</w:t>
      </w:r>
      <w:r w:rsidR="00B271FB" w:rsidRPr="00476F21">
        <w:rPr>
          <w:lang w:val="en-GB"/>
        </w:rPr>
        <w:t xml:space="preserve"> Oxford, New York, Oxford University Press</w:t>
      </w:r>
      <w:r w:rsidR="00B271FB" w:rsidRPr="00651730">
        <w:rPr>
          <w:lang w:val="fr-BE"/>
        </w:rPr>
        <w:t>, 2023;</w:t>
      </w:r>
      <w:r w:rsidRPr="00651730">
        <w:rPr>
          <w:lang w:val="fr-BE"/>
        </w:rPr>
        <w:t xml:space="preserve"> R. </w:t>
      </w:r>
      <w:r w:rsidRPr="00651730">
        <w:rPr>
          <w:smallCaps/>
          <w:lang w:val="fr-BE"/>
        </w:rPr>
        <w:t>Mastroianni</w:t>
      </w:r>
      <w:r w:rsidRPr="00651730">
        <w:rPr>
          <w:lang w:val="fr-BE"/>
        </w:rPr>
        <w:t xml:space="preserve">, </w:t>
      </w:r>
      <w:r w:rsidRPr="00651730">
        <w:rPr>
          <w:i/>
          <w:lang w:val="fr-BE"/>
        </w:rPr>
        <w:t xml:space="preserve">Il </w:t>
      </w:r>
      <w:r w:rsidRPr="00476F21">
        <w:rPr>
          <w:i/>
        </w:rPr>
        <w:t>Trattato di Nizza ed il riparto di competenze tra le istituzioni giudiziarie comunitarie</w:t>
      </w:r>
      <w:r w:rsidRPr="00476F21">
        <w:t>,</w:t>
      </w:r>
      <w:r w:rsidRPr="00476F21">
        <w:rPr>
          <w:i/>
        </w:rPr>
        <w:t xml:space="preserve"> </w:t>
      </w:r>
      <w:r w:rsidRPr="00476F21">
        <w:t xml:space="preserve">in B. </w:t>
      </w:r>
      <w:r w:rsidRPr="00476F21">
        <w:rPr>
          <w:smallCaps/>
        </w:rPr>
        <w:t>Nascimbene</w:t>
      </w:r>
      <w:r w:rsidRPr="00476F21">
        <w:t xml:space="preserve"> (a cura di), </w:t>
      </w:r>
      <w:r w:rsidRPr="00476F21">
        <w:rPr>
          <w:i/>
        </w:rPr>
        <w:t>Il processo comunitario dopo Nizza</w:t>
      </w:r>
      <w:r w:rsidRPr="00476F21">
        <w:t xml:space="preserve">, Giuffrè, Milano, 2003, p. 21 ss.; </w:t>
      </w:r>
      <w:r w:rsidRPr="00476F21">
        <w:rPr>
          <w:smallCaps/>
        </w:rPr>
        <w:t>Id</w:t>
      </w:r>
      <w:r w:rsidRPr="00476F21">
        <w:t>., A</w:t>
      </w:r>
      <w:r w:rsidRPr="00476F21">
        <w:rPr>
          <w:i/>
        </w:rPr>
        <w:t>rtt. 251, 252, 253 e 257</w:t>
      </w:r>
      <w:r w:rsidRPr="00476F21">
        <w:t xml:space="preserve">, in A. </w:t>
      </w:r>
      <w:r w:rsidRPr="00476F21">
        <w:rPr>
          <w:smallCaps/>
        </w:rPr>
        <w:t>Tizzano</w:t>
      </w:r>
      <w:r w:rsidRPr="00476F21">
        <w:t xml:space="preserve"> (a cura di), </w:t>
      </w:r>
      <w:r w:rsidRPr="00476F21">
        <w:rPr>
          <w:i/>
        </w:rPr>
        <w:t>Trattati dell</w:t>
      </w:r>
      <w:r w:rsidR="00D04C06" w:rsidRPr="00476F21">
        <w:rPr>
          <w:i/>
        </w:rPr>
        <w:t>’</w:t>
      </w:r>
      <w:r w:rsidRPr="00476F21">
        <w:rPr>
          <w:i/>
        </w:rPr>
        <w:t>Unione europea</w:t>
      </w:r>
      <w:r w:rsidRPr="00476F21">
        <w:t xml:space="preserve">, cit., p. 1937 ss. e p. 2007 ss.; </w:t>
      </w:r>
      <w:r w:rsidRPr="00476F21">
        <w:rPr>
          <w:smallCaps/>
        </w:rPr>
        <w:t>Id</w:t>
      </w:r>
      <w:r w:rsidRPr="00476F21">
        <w:t xml:space="preserve">., </w:t>
      </w:r>
      <w:r w:rsidRPr="00476F21">
        <w:rPr>
          <w:i/>
          <w:iCs/>
        </w:rPr>
        <w:t>L</w:t>
      </w:r>
      <w:r w:rsidR="00D04C06" w:rsidRPr="00476F21">
        <w:rPr>
          <w:i/>
          <w:iCs/>
        </w:rPr>
        <w:t>’</w:t>
      </w:r>
      <w:r w:rsidRPr="00476F21">
        <w:rPr>
          <w:i/>
          <w:iCs/>
        </w:rPr>
        <w:t>effettività della tutela giurisdizionale alla prova della Carta dei diritti fondamentali</w:t>
      </w:r>
      <w:r w:rsidRPr="00476F21">
        <w:t xml:space="preserve">, in </w:t>
      </w:r>
      <w:r w:rsidRPr="00476F21">
        <w:rPr>
          <w:i/>
          <w:iCs/>
        </w:rPr>
        <w:t>Liber Amicorum Antonio Tizzano</w:t>
      </w:r>
      <w:r w:rsidRPr="00476F21">
        <w:t xml:space="preserve">, Giappichelli, Torino, 2018, p. 586 </w:t>
      </w:r>
      <w:r w:rsidRPr="00476F21">
        <w:lastRenderedPageBreak/>
        <w:t xml:space="preserve">ss.; </w:t>
      </w:r>
      <w:r w:rsidR="00CD0654" w:rsidRPr="00476F21">
        <w:rPr>
          <w:smallCaps/>
        </w:rPr>
        <w:t>Id.</w:t>
      </w:r>
      <w:r w:rsidR="00CD0654" w:rsidRPr="00476F21">
        <w:t xml:space="preserve">, </w:t>
      </w:r>
      <w:r w:rsidR="00CD0654" w:rsidRPr="00476F21">
        <w:rPr>
          <w:i/>
        </w:rPr>
        <w:t>Il trasferimento delle questioni pregiudiziali al Tribunale: una riforma epocale o un salto nel buio?</w:t>
      </w:r>
      <w:r w:rsidR="00CD0654" w:rsidRPr="00476F21">
        <w:t xml:space="preserve">, in </w:t>
      </w:r>
      <w:r w:rsidR="00CD0654" w:rsidRPr="00476F21">
        <w:rPr>
          <w:i/>
        </w:rPr>
        <w:t>Quaderni AISDU</w:t>
      </w:r>
      <w:r w:rsidR="00CD0654" w:rsidRPr="00476F21">
        <w:rPr>
          <w:i/>
          <w:lang w:val="fr-BE"/>
        </w:rPr>
        <w:t>E</w:t>
      </w:r>
      <w:r w:rsidR="00CD0654" w:rsidRPr="00651730">
        <w:rPr>
          <w:lang w:val="fr-BE"/>
        </w:rPr>
        <w:t>, n. 3/2024, p. 1</w:t>
      </w:r>
      <w:r w:rsidR="00476F21">
        <w:rPr>
          <w:lang w:val="fr-BE"/>
        </w:rPr>
        <w:t xml:space="preserve"> </w:t>
      </w:r>
      <w:proofErr w:type="spellStart"/>
      <w:r w:rsidR="00CD0654" w:rsidRPr="00651730">
        <w:rPr>
          <w:lang w:val="fr-BE"/>
        </w:rPr>
        <w:t>ss</w:t>
      </w:r>
      <w:proofErr w:type="spellEnd"/>
      <w:r w:rsidR="00CD0654" w:rsidRPr="00651730">
        <w:rPr>
          <w:lang w:val="fr-BE"/>
        </w:rPr>
        <w:t xml:space="preserve">.; </w:t>
      </w:r>
      <w:r w:rsidRPr="00651730">
        <w:rPr>
          <w:lang w:val="fr-BE"/>
        </w:rPr>
        <w:t xml:space="preserve">M. </w:t>
      </w:r>
      <w:proofErr w:type="spellStart"/>
      <w:r w:rsidRPr="00651730">
        <w:rPr>
          <w:smallCaps/>
          <w:lang w:val="fr-BE"/>
        </w:rPr>
        <w:t>Orzan</w:t>
      </w:r>
      <w:proofErr w:type="spellEnd"/>
      <w:r w:rsidRPr="00476F21">
        <w:rPr>
          <w:lang w:val="en-GB"/>
        </w:rPr>
        <w:t xml:space="preserve">, </w:t>
      </w:r>
      <w:r w:rsidRPr="00476F21">
        <w:rPr>
          <w:i/>
          <w:lang w:val="en-GB"/>
        </w:rPr>
        <w:t>Some remarks on the first applications of the filtering of certain categories of appeals before the Court of Justice</w:t>
      </w:r>
      <w:r w:rsidRPr="00476F21">
        <w:rPr>
          <w:lang w:val="en-GB"/>
        </w:rPr>
        <w:t xml:space="preserve">, in </w:t>
      </w:r>
      <w:r w:rsidRPr="00476F21">
        <w:rPr>
          <w:i/>
          <w:lang w:val="en-GB"/>
        </w:rPr>
        <w:t>European intellectual property review</w:t>
      </w:r>
      <w:r w:rsidRPr="00651730">
        <w:rPr>
          <w:lang w:val="fr-BE"/>
        </w:rPr>
        <w:t xml:space="preserve">, 2020, p. 426; I. </w:t>
      </w:r>
      <w:proofErr w:type="spellStart"/>
      <w:r w:rsidRPr="00651730">
        <w:rPr>
          <w:smallCaps/>
          <w:lang w:val="fr-BE"/>
        </w:rPr>
        <w:t>Pingel</w:t>
      </w:r>
      <w:proofErr w:type="spellEnd"/>
      <w:r w:rsidRPr="00651730">
        <w:rPr>
          <w:lang w:val="fr-BE"/>
        </w:rPr>
        <w:t xml:space="preserve">, </w:t>
      </w:r>
      <w:r w:rsidRPr="00651730">
        <w:rPr>
          <w:i/>
          <w:iCs/>
          <w:lang w:val="fr-BE"/>
        </w:rPr>
        <w:t>La procédure de réexamen en droit de l</w:t>
      </w:r>
      <w:r w:rsidR="00D04C06" w:rsidRPr="00651730">
        <w:rPr>
          <w:i/>
          <w:iCs/>
          <w:lang w:val="fr-BE"/>
        </w:rPr>
        <w:t>’</w:t>
      </w:r>
      <w:r w:rsidRPr="00651730">
        <w:rPr>
          <w:i/>
          <w:iCs/>
          <w:lang w:val="fr-BE"/>
        </w:rPr>
        <w:t>Union</w:t>
      </w:r>
      <w:r w:rsidR="00D04C06" w:rsidRPr="00651730">
        <w:rPr>
          <w:i/>
          <w:iCs/>
          <w:lang w:val="fr-BE"/>
        </w:rPr>
        <w:t xml:space="preserve"> </w:t>
      </w:r>
      <w:r w:rsidRPr="00651730">
        <w:rPr>
          <w:i/>
          <w:iCs/>
          <w:lang w:val="fr-BE"/>
        </w:rPr>
        <w:t>européenne</w:t>
      </w:r>
      <w:r w:rsidRPr="00651730">
        <w:rPr>
          <w:lang w:val="fr-BE"/>
        </w:rPr>
        <w:t>,</w:t>
      </w:r>
      <w:r w:rsidR="00D04C06" w:rsidRPr="00651730">
        <w:rPr>
          <w:lang w:val="fr-BE"/>
        </w:rPr>
        <w:t xml:space="preserve"> </w:t>
      </w:r>
      <w:r w:rsidRPr="00651730">
        <w:rPr>
          <w:lang w:val="fr-BE"/>
        </w:rPr>
        <w:t xml:space="preserve">in </w:t>
      </w:r>
      <w:r w:rsidRPr="00651730">
        <w:rPr>
          <w:i/>
          <w:iCs/>
          <w:lang w:val="fr-BE"/>
        </w:rPr>
        <w:t>Revue du marché commun et de l</w:t>
      </w:r>
      <w:r w:rsidR="00D04C06" w:rsidRPr="00651730">
        <w:rPr>
          <w:i/>
          <w:iCs/>
          <w:lang w:val="fr-BE"/>
        </w:rPr>
        <w:t>’</w:t>
      </w:r>
      <w:r w:rsidRPr="00651730">
        <w:rPr>
          <w:i/>
          <w:iCs/>
          <w:lang w:val="fr-BE"/>
        </w:rPr>
        <w:t>Union européenne</w:t>
      </w:r>
      <w:r w:rsidRPr="00651730">
        <w:rPr>
          <w:lang w:val="fr-BE"/>
        </w:rPr>
        <w:t>,</w:t>
      </w:r>
      <w:r w:rsidR="00D04C06" w:rsidRPr="00651730">
        <w:rPr>
          <w:lang w:val="fr-BE"/>
        </w:rPr>
        <w:t xml:space="preserve"> </w:t>
      </w:r>
      <w:r w:rsidRPr="00651730">
        <w:rPr>
          <w:lang w:val="fr-BE"/>
        </w:rPr>
        <w:t>2011,</w:t>
      </w:r>
      <w:r w:rsidR="00D04C06" w:rsidRPr="00651730">
        <w:rPr>
          <w:lang w:val="fr-BE"/>
        </w:rPr>
        <w:t xml:space="preserve"> </w:t>
      </w:r>
      <w:r w:rsidRPr="00651730">
        <w:rPr>
          <w:lang w:val="fr-BE"/>
        </w:rPr>
        <w:t>p.</w:t>
      </w:r>
      <w:r w:rsidR="00D04C06" w:rsidRPr="00651730">
        <w:rPr>
          <w:lang w:val="fr-BE"/>
        </w:rPr>
        <w:t xml:space="preserve"> </w:t>
      </w:r>
      <w:r w:rsidRPr="00651730">
        <w:rPr>
          <w:lang w:val="fr-BE"/>
        </w:rPr>
        <w:t>532</w:t>
      </w:r>
      <w:r w:rsidR="00D04C06" w:rsidRPr="00651730">
        <w:rPr>
          <w:lang w:val="fr-BE"/>
        </w:rPr>
        <w:t xml:space="preserve"> </w:t>
      </w:r>
      <w:proofErr w:type="spellStart"/>
      <w:r w:rsidRPr="00651730">
        <w:rPr>
          <w:lang w:val="fr-BE"/>
        </w:rPr>
        <w:t>ss</w:t>
      </w:r>
      <w:proofErr w:type="spellEnd"/>
      <w:r w:rsidRPr="00651730">
        <w:rPr>
          <w:lang w:val="fr-BE"/>
        </w:rPr>
        <w:t xml:space="preserve">.; D. </w:t>
      </w:r>
      <w:r w:rsidRPr="00651730">
        <w:rPr>
          <w:smallCaps/>
          <w:lang w:val="fr-BE"/>
        </w:rPr>
        <w:t>Sarmiento</w:t>
      </w:r>
      <w:r w:rsidRPr="00651730">
        <w:rPr>
          <w:lang w:val="fr-BE"/>
        </w:rPr>
        <w:t xml:space="preserve">, </w:t>
      </w:r>
      <w:r w:rsidRPr="00476F21">
        <w:rPr>
          <w:i/>
          <w:lang w:val="en-GB"/>
        </w:rPr>
        <w:t>On the road to a Constitutional Court of the European Union: the Court of Justice after the transfer of the preliminary reference jurisdiction to the General Court</w:t>
      </w:r>
      <w:r w:rsidRPr="00476F21">
        <w:rPr>
          <w:lang w:val="en-GB"/>
        </w:rPr>
        <w:t xml:space="preserve">, in </w:t>
      </w:r>
      <w:r w:rsidRPr="00476F21">
        <w:rPr>
          <w:i/>
          <w:lang w:val="en-GB"/>
        </w:rPr>
        <w:t>Croatian Yearbook of European Law and Polic</w:t>
      </w:r>
      <w:r w:rsidRPr="00651730">
        <w:rPr>
          <w:i/>
          <w:lang w:val="fr-BE"/>
        </w:rPr>
        <w:t>y</w:t>
      </w:r>
      <w:r w:rsidRPr="00651730">
        <w:rPr>
          <w:lang w:val="fr-BE"/>
        </w:rPr>
        <w:t xml:space="preserve">, 2023; </w:t>
      </w:r>
      <w:r w:rsidRPr="00476F21">
        <w:t xml:space="preserve">R. </w:t>
      </w:r>
      <w:r w:rsidRPr="00476F21">
        <w:rPr>
          <w:smallCaps/>
        </w:rPr>
        <w:t>Schiano</w:t>
      </w:r>
      <w:r w:rsidRPr="00476F21">
        <w:t xml:space="preserve">, </w:t>
      </w:r>
      <w:r w:rsidRPr="00476F21">
        <w:rPr>
          <w:i/>
        </w:rPr>
        <w:t>Le «camere giurisdizionali» presso la Corte di Lussemburgo: alcune riflessioni alla luce dell</w:t>
      </w:r>
      <w:r w:rsidR="00D04C06" w:rsidRPr="00476F21">
        <w:rPr>
          <w:i/>
        </w:rPr>
        <w:t>’</w:t>
      </w:r>
      <w:r w:rsidRPr="00476F21">
        <w:rPr>
          <w:i/>
        </w:rPr>
        <w:t>istituzione del Tribunale della funzione pubblica</w:t>
      </w:r>
      <w:r w:rsidRPr="00476F21">
        <w:t xml:space="preserve">, in </w:t>
      </w:r>
      <w:r w:rsidRPr="00476F21">
        <w:rPr>
          <w:i/>
        </w:rPr>
        <w:t>Il</w:t>
      </w:r>
      <w:r w:rsidRPr="00476F21">
        <w:t xml:space="preserve"> </w:t>
      </w:r>
      <w:r w:rsidRPr="00476F21">
        <w:rPr>
          <w:i/>
        </w:rPr>
        <w:t>Diritto dell</w:t>
      </w:r>
      <w:r w:rsidR="00D04C06" w:rsidRPr="00476F21">
        <w:rPr>
          <w:i/>
        </w:rPr>
        <w:t>’</w:t>
      </w:r>
      <w:r w:rsidRPr="00476F21">
        <w:rPr>
          <w:i/>
        </w:rPr>
        <w:t>Unione Europea</w:t>
      </w:r>
      <w:r w:rsidRPr="00476F21">
        <w:t>, 2005, p. 719 s</w:t>
      </w:r>
      <w:r w:rsidRPr="00651730">
        <w:rPr>
          <w:lang w:val="fr-BE"/>
        </w:rPr>
        <w:t xml:space="preserve">s.; E. </w:t>
      </w:r>
      <w:proofErr w:type="spellStart"/>
      <w:r w:rsidRPr="00651730">
        <w:rPr>
          <w:smallCaps/>
          <w:lang w:val="fr-BE"/>
        </w:rPr>
        <w:t>Sharpston</w:t>
      </w:r>
      <w:proofErr w:type="spellEnd"/>
      <w:r w:rsidRPr="00651730">
        <w:rPr>
          <w:lang w:val="fr-BE"/>
        </w:rPr>
        <w:t xml:space="preserve">, </w:t>
      </w:r>
      <w:r w:rsidRPr="00476F21">
        <w:rPr>
          <w:i/>
          <w:lang w:val="en-GB"/>
        </w:rPr>
        <w:t>The Changing Role of the Advocate General</w:t>
      </w:r>
      <w:r w:rsidRPr="00476F21">
        <w:rPr>
          <w:lang w:val="en-GB"/>
        </w:rPr>
        <w:t>,</w:t>
      </w:r>
      <w:r w:rsidRPr="00651730">
        <w:rPr>
          <w:lang w:val="fr-BE"/>
        </w:rPr>
        <w:t xml:space="preserve"> in A. </w:t>
      </w:r>
      <w:proofErr w:type="spellStart"/>
      <w:r w:rsidRPr="00651730">
        <w:rPr>
          <w:smallCaps/>
          <w:lang w:val="fr-BE"/>
        </w:rPr>
        <w:t>Arnull</w:t>
      </w:r>
      <w:proofErr w:type="spellEnd"/>
      <w:r w:rsidRPr="00651730">
        <w:rPr>
          <w:smallCaps/>
          <w:lang w:val="fr-BE"/>
        </w:rPr>
        <w:t xml:space="preserve">-P. </w:t>
      </w:r>
      <w:proofErr w:type="spellStart"/>
      <w:r w:rsidRPr="002F297E">
        <w:rPr>
          <w:smallCaps/>
          <w:lang w:val="en-US"/>
        </w:rPr>
        <w:t>Eeckhout</w:t>
      </w:r>
      <w:proofErr w:type="spellEnd"/>
      <w:r w:rsidRPr="002F297E">
        <w:rPr>
          <w:smallCaps/>
          <w:lang w:val="en-US"/>
        </w:rPr>
        <w:t xml:space="preserve">-T. </w:t>
      </w:r>
      <w:proofErr w:type="spellStart"/>
      <w:r w:rsidRPr="002F297E">
        <w:rPr>
          <w:smallCaps/>
          <w:lang w:val="en-US"/>
        </w:rPr>
        <w:t>Tridimas</w:t>
      </w:r>
      <w:proofErr w:type="spellEnd"/>
      <w:r w:rsidRPr="004050C9">
        <w:rPr>
          <w:lang w:val="en-US"/>
        </w:rPr>
        <w:t xml:space="preserve"> (eds.), </w:t>
      </w:r>
      <w:r w:rsidRPr="00853B2F">
        <w:rPr>
          <w:i/>
          <w:lang w:val="en-GB"/>
        </w:rPr>
        <w:t>Continuity and Change in Eu Law</w:t>
      </w:r>
      <w:r w:rsidRPr="00785AA1">
        <w:rPr>
          <w:lang w:val="en-GB"/>
        </w:rPr>
        <w:t xml:space="preserve">. </w:t>
      </w:r>
      <w:r w:rsidRPr="00853B2F">
        <w:rPr>
          <w:i/>
          <w:lang w:val="en-GB"/>
        </w:rPr>
        <w:t>Essays in Honour of Sir Francis Jacobs</w:t>
      </w:r>
      <w:r w:rsidRPr="00785AA1">
        <w:rPr>
          <w:lang w:val="en-GB"/>
        </w:rPr>
        <w:t xml:space="preserve">, </w:t>
      </w:r>
      <w:r w:rsidR="00B271FB">
        <w:rPr>
          <w:lang w:val="en-GB"/>
        </w:rPr>
        <w:t>OUP</w:t>
      </w:r>
      <w:r w:rsidR="002F297E">
        <w:rPr>
          <w:lang w:val="en-GB"/>
        </w:rPr>
        <w:t xml:space="preserve">, </w:t>
      </w:r>
      <w:r w:rsidRPr="00785AA1">
        <w:rPr>
          <w:lang w:val="en-GB"/>
        </w:rPr>
        <w:t>Oxfo</w:t>
      </w:r>
      <w:r w:rsidRPr="004050C9">
        <w:rPr>
          <w:lang w:val="en-GB"/>
        </w:rPr>
        <w:t xml:space="preserve">rd, 2008, p. 20 ss.; O. </w:t>
      </w:r>
      <w:r w:rsidRPr="004050C9">
        <w:rPr>
          <w:smallCaps/>
          <w:lang w:val="en-GB"/>
        </w:rPr>
        <w:t>Tambou</w:t>
      </w:r>
      <w:r w:rsidRPr="002313AD">
        <w:rPr>
          <w:lang w:val="en-GB"/>
        </w:rPr>
        <w:t xml:space="preserve">, </w:t>
      </w:r>
      <w:r w:rsidRPr="00476F21">
        <w:rPr>
          <w:i/>
          <w:lang w:val="fr-FR"/>
        </w:rPr>
        <w:t xml:space="preserve">Le système </w:t>
      </w:r>
      <w:proofErr w:type="spellStart"/>
      <w:r w:rsidRPr="00476F21">
        <w:rPr>
          <w:i/>
          <w:lang w:val="fr-FR"/>
        </w:rPr>
        <w:t>jurisdictionnel</w:t>
      </w:r>
      <w:proofErr w:type="spellEnd"/>
      <w:r w:rsidRPr="00476F21">
        <w:rPr>
          <w:i/>
          <w:lang w:val="fr-FR"/>
        </w:rPr>
        <w:t xml:space="preserve"> communautaire revu et corrige par le traité de Nice</w:t>
      </w:r>
      <w:r w:rsidRPr="00476F21">
        <w:rPr>
          <w:lang w:val="fr-FR"/>
        </w:rPr>
        <w:t xml:space="preserve">, in </w:t>
      </w:r>
      <w:r w:rsidRPr="00476F21">
        <w:rPr>
          <w:i/>
          <w:iCs/>
          <w:lang w:val="fr-FR"/>
        </w:rPr>
        <w:t>Revue du marché commun et de l</w:t>
      </w:r>
      <w:r w:rsidR="00D04C06" w:rsidRPr="00476F21">
        <w:rPr>
          <w:i/>
          <w:iCs/>
          <w:lang w:val="fr-FR"/>
        </w:rPr>
        <w:t>’</w:t>
      </w:r>
      <w:r w:rsidRPr="00476F21">
        <w:rPr>
          <w:i/>
          <w:iCs/>
          <w:lang w:val="fr-FR"/>
        </w:rPr>
        <w:t>Union européenne</w:t>
      </w:r>
      <w:r w:rsidRPr="002313AD">
        <w:rPr>
          <w:lang w:val="en-GB"/>
        </w:rPr>
        <w:t>,</w:t>
      </w:r>
      <w:r w:rsidRPr="004050C9">
        <w:rPr>
          <w:lang w:val="en-GB"/>
        </w:rPr>
        <w:t xml:space="preserve"> 2001, p. 164 ss.; G. </w:t>
      </w:r>
      <w:r w:rsidRPr="004050C9">
        <w:rPr>
          <w:smallCaps/>
          <w:lang w:val="en-GB"/>
        </w:rPr>
        <w:t>Tesauro</w:t>
      </w:r>
      <w:r w:rsidRPr="004050C9">
        <w:rPr>
          <w:lang w:val="en-GB"/>
        </w:rPr>
        <w:t xml:space="preserve">, </w:t>
      </w:r>
      <w:r w:rsidRPr="004050C9">
        <w:rPr>
          <w:i/>
          <w:iCs/>
          <w:lang w:val="en-GB"/>
        </w:rPr>
        <w:t>Art. 19 TUE</w:t>
      </w:r>
      <w:r w:rsidRPr="004050C9">
        <w:rPr>
          <w:lang w:val="en-GB"/>
        </w:rPr>
        <w:t>, in A</w:t>
      </w:r>
      <w:r w:rsidRPr="00476F21">
        <w:t xml:space="preserve">. </w:t>
      </w:r>
      <w:r w:rsidRPr="00476F21">
        <w:rPr>
          <w:smallCaps/>
        </w:rPr>
        <w:t xml:space="preserve">Tizzano </w:t>
      </w:r>
      <w:r w:rsidRPr="00476F21">
        <w:t xml:space="preserve">(a cura di), </w:t>
      </w:r>
      <w:r w:rsidRPr="00476F21">
        <w:rPr>
          <w:i/>
        </w:rPr>
        <w:t>Trattati dell</w:t>
      </w:r>
      <w:r w:rsidR="00D04C06" w:rsidRPr="00476F21">
        <w:rPr>
          <w:i/>
        </w:rPr>
        <w:t>’</w:t>
      </w:r>
      <w:r w:rsidRPr="00476F21">
        <w:rPr>
          <w:i/>
        </w:rPr>
        <w:t>Unione europea</w:t>
      </w:r>
      <w:r w:rsidRPr="00476F21">
        <w:t xml:space="preserve">, cit., p. 196 ss.; A. </w:t>
      </w:r>
      <w:r w:rsidRPr="00476F21">
        <w:rPr>
          <w:smallCaps/>
        </w:rPr>
        <w:t>Tizzano</w:t>
      </w:r>
      <w:r w:rsidRPr="00476F21">
        <w:t xml:space="preserve">, </w:t>
      </w:r>
      <w:r w:rsidRPr="00476F21">
        <w:rPr>
          <w:i/>
        </w:rPr>
        <w:t>L</w:t>
      </w:r>
      <w:r w:rsidR="00D04C06" w:rsidRPr="00476F21">
        <w:rPr>
          <w:i/>
        </w:rPr>
        <w:t>’</w:t>
      </w:r>
      <w:r w:rsidRPr="00476F21">
        <w:rPr>
          <w:i/>
        </w:rPr>
        <w:t>istituzione del «Tribunale di primo grado delle Comunità europee»</w:t>
      </w:r>
      <w:r w:rsidRPr="00476F21">
        <w:t xml:space="preserve">, in </w:t>
      </w:r>
      <w:r w:rsidRPr="00476F21">
        <w:rPr>
          <w:i/>
        </w:rPr>
        <w:t>Foro.it</w:t>
      </w:r>
      <w:r w:rsidRPr="00476F21">
        <w:t xml:space="preserve">., 1989, IV, c. 37 ss.; </w:t>
      </w:r>
      <w:r w:rsidRPr="00476F21">
        <w:rPr>
          <w:smallCaps/>
        </w:rPr>
        <w:t>Id</w:t>
      </w:r>
      <w:r w:rsidRPr="00476F21">
        <w:t xml:space="preserve">., </w:t>
      </w:r>
      <w:r w:rsidRPr="00476F21">
        <w:rPr>
          <w:i/>
        </w:rPr>
        <w:t>La “Costituzione europea” e il sistema giurisdizionale comunitario</w:t>
      </w:r>
      <w:r w:rsidRPr="00476F21">
        <w:t>, in</w:t>
      </w:r>
      <w:r w:rsidRPr="00476F21">
        <w:rPr>
          <w:i/>
        </w:rPr>
        <w:t xml:space="preserve"> Il Diritto dell</w:t>
      </w:r>
      <w:r w:rsidR="00D04C06" w:rsidRPr="00476F21">
        <w:rPr>
          <w:i/>
        </w:rPr>
        <w:t>’</w:t>
      </w:r>
      <w:r w:rsidRPr="00476F21">
        <w:rPr>
          <w:i/>
        </w:rPr>
        <w:t>Unione Europea</w:t>
      </w:r>
      <w:r w:rsidRPr="002313AD">
        <w:rPr>
          <w:lang w:val="en-GB"/>
        </w:rPr>
        <w:t>,</w:t>
      </w:r>
      <w:r w:rsidRPr="004050C9">
        <w:rPr>
          <w:lang w:val="en-GB"/>
        </w:rPr>
        <w:t xml:space="preserve"> 2003, p. 453 ss.; </w:t>
      </w:r>
      <w:r w:rsidRPr="004050C9">
        <w:rPr>
          <w:smallCaps/>
          <w:lang w:val="en-GB"/>
        </w:rPr>
        <w:t>M. van der Woude</w:t>
      </w:r>
      <w:r w:rsidRPr="004050C9">
        <w:rPr>
          <w:lang w:val="en-GB"/>
        </w:rPr>
        <w:t xml:space="preserve">, </w:t>
      </w:r>
      <w:r w:rsidRPr="004050C9">
        <w:rPr>
          <w:i/>
          <w:iCs/>
          <w:lang w:val="en-GB"/>
        </w:rPr>
        <w:t>The Place of the General Court in the Institutional Framework of the Union</w:t>
      </w:r>
      <w:r w:rsidRPr="004050C9">
        <w:rPr>
          <w:lang w:val="en-GB"/>
        </w:rPr>
        <w:t xml:space="preserve">, in </w:t>
      </w:r>
      <w:r w:rsidRPr="004050C9">
        <w:rPr>
          <w:i/>
          <w:iCs/>
          <w:lang w:val="en-GB"/>
        </w:rPr>
        <w:t>EU Law Live Weekend Edition</w:t>
      </w:r>
      <w:r w:rsidRPr="004050C9">
        <w:rPr>
          <w:lang w:val="en-GB"/>
        </w:rPr>
        <w:t>, 2022, n. 81</w:t>
      </w:r>
      <w:r w:rsidR="00D04C06" w:rsidRPr="004050C9">
        <w:rPr>
          <w:lang w:val="en-GB"/>
        </w:rPr>
        <w:t>;</w:t>
      </w:r>
      <w:r w:rsidRPr="004050C9">
        <w:rPr>
          <w:lang w:val="en-GB"/>
        </w:rPr>
        <w:t xml:space="preserve"> </w:t>
      </w:r>
      <w:r w:rsidRPr="004050C9">
        <w:rPr>
          <w:smallCaps/>
          <w:lang w:val="en-GB"/>
        </w:rPr>
        <w:t>J.H.H. Weiler</w:t>
      </w:r>
      <w:r w:rsidR="002F297E">
        <w:rPr>
          <w:smallCaps/>
          <w:lang w:val="en-GB"/>
        </w:rPr>
        <w:t>-</w:t>
      </w:r>
      <w:r w:rsidRPr="004050C9">
        <w:rPr>
          <w:smallCaps/>
          <w:lang w:val="en-GB"/>
        </w:rPr>
        <w:t>D. Sarmiento</w:t>
      </w:r>
      <w:r w:rsidRPr="004050C9">
        <w:rPr>
          <w:lang w:val="en-GB"/>
        </w:rPr>
        <w:t xml:space="preserve">, </w:t>
      </w:r>
      <w:r w:rsidRPr="00853B2F">
        <w:rPr>
          <w:i/>
          <w:lang w:val="en-GB"/>
        </w:rPr>
        <w:t>The Comeback of the Mixed Chamber: Institutional reform and competence creep in an enlarged Union</w:t>
      </w:r>
      <w:r w:rsidRPr="00785AA1">
        <w:rPr>
          <w:lang w:val="en-GB"/>
        </w:rPr>
        <w:t xml:space="preserve">, in </w:t>
      </w:r>
      <w:proofErr w:type="spellStart"/>
      <w:r w:rsidRPr="00785AA1">
        <w:rPr>
          <w:lang w:val="en-GB"/>
        </w:rPr>
        <w:t>VerfBlog</w:t>
      </w:r>
      <w:proofErr w:type="spellEnd"/>
      <w:r w:rsidRPr="004050C9">
        <w:rPr>
          <w:lang w:val="en-GB"/>
        </w:rPr>
        <w:t>,</w:t>
      </w:r>
      <w:r w:rsidR="00352F17">
        <w:rPr>
          <w:lang w:val="en-GB"/>
        </w:rPr>
        <w:t xml:space="preserve"> October 2, 2023</w:t>
      </w:r>
      <w:r w:rsidRPr="004050C9">
        <w:rPr>
          <w:lang w:val="en-GB"/>
        </w:rPr>
        <w:t>.</w:t>
      </w:r>
      <w:bookmarkEnd w:id="0"/>
      <w:bookmarkEnd w:id="1"/>
    </w:p>
    <w:sectPr w:rsidR="00CC6E33" w:rsidSect="00DF624F">
      <w:headerReference w:type="even" r:id="rId7"/>
      <w:headerReference w:type="default" r:id="rId8"/>
      <w:footerReference w:type="even" r:id="rId9"/>
      <w:type w:val="continuous"/>
      <w:pgSz w:w="9639" w:h="13608" w:code="307"/>
      <w:pgMar w:top="1588" w:right="1191" w:bottom="1134" w:left="1191" w:header="1021" w:footer="0" w:gutter="0"/>
      <w:pgNumType w:start="2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CC555" w14:textId="77777777" w:rsidR="001F2309" w:rsidRDefault="001F2309" w:rsidP="001B6603">
      <w:r>
        <w:separator/>
      </w:r>
    </w:p>
    <w:p w14:paraId="16CB0913" w14:textId="77777777" w:rsidR="001F2309" w:rsidRDefault="001F2309"/>
    <w:p w14:paraId="0627E46A" w14:textId="77777777" w:rsidR="001F2309" w:rsidRDefault="001F2309"/>
  </w:endnote>
  <w:endnote w:type="continuationSeparator" w:id="0">
    <w:p w14:paraId="16E89F44" w14:textId="77777777" w:rsidR="001F2309" w:rsidRDefault="001F2309" w:rsidP="001B6603">
      <w:r>
        <w:continuationSeparator/>
      </w:r>
    </w:p>
    <w:p w14:paraId="7532ADFF" w14:textId="77777777" w:rsidR="001F2309" w:rsidRDefault="001F2309"/>
    <w:p w14:paraId="3449F59D" w14:textId="77777777" w:rsidR="001F2309" w:rsidRDefault="001F23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imoncini Garamond Std">
    <w:altName w:val="Cambria"/>
    <w:panose1 w:val="00000000000000000000"/>
    <w:charset w:val="00"/>
    <w:family w:val="roman"/>
    <w:notTrueType/>
    <w:pitch w:val="variable"/>
    <w:sig w:usb0="00000003" w:usb1="00000000" w:usb2="00000000" w:usb3="00000000" w:csb0="00000001" w:csb1="00000000"/>
  </w:font>
  <w:font w:name="Friz Quadrata">
    <w:altName w:val="Cambria"/>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imoncini Garamond">
    <w:altName w:val="Cambria"/>
    <w:panose1 w:val="00000000000000000000"/>
    <w:charset w:val="00"/>
    <w:family w:val="roman"/>
    <w:notTrueType/>
    <w:pitch w:val="variable"/>
    <w:sig w:usb0="00000003" w:usb1="00000000" w:usb2="00000000" w:usb3="00000000" w:csb0="00000001"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29E04" w14:textId="77777777" w:rsidR="000E3D39" w:rsidRDefault="000E3D39">
    <w:pPr>
      <w:pStyle w:val="Pidipagina"/>
    </w:pPr>
    <w:bookmarkStart w:id="8" w:name="_Hlk137639663"/>
    <w:bookmarkStart w:id="9" w:name="_Hlk137639664"/>
    <w:bookmarkStart w:id="10" w:name="_Hlk137639671"/>
    <w:bookmarkStart w:id="11" w:name="_Hlk137639672"/>
    <w:bookmarkEnd w:id="8"/>
    <w:bookmarkEnd w:id="9"/>
    <w:bookmarkEnd w:id="10"/>
    <w:bookmarkEnd w:id="1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tbl>
      <w:tblPr>
        <w:tblW w:w="0" w:type="auto"/>
        <w:tblBorders>
          <w:bottom w:val="single" w:sz="4" w:space="0" w:color="auto"/>
        </w:tblBorders>
        <w:tblLayout w:type="fixed"/>
        <w:tblCellMar>
          <w:left w:w="0" w:type="dxa"/>
          <w:right w:w="0" w:type="dxa"/>
        </w:tblCellMar>
        <w:tblLook w:val="0000" w:firstRow="0" w:lastRow="0" w:firstColumn="0" w:lastColumn="0" w:noHBand="0" w:noVBand="0"/>
      </w:tblPr>
      <w:tblGrid>
        <w:gridCol w:w="1134"/>
      </w:tblGrid>
      <w:tr w:rsidR="001F2309" w:rsidRPr="00912A6A" w14:paraId="643690AC" w14:textId="77777777" w:rsidTr="00C059B9">
        <w:tc>
          <w:tcPr>
            <w:tcW w:w="1134" w:type="dxa"/>
          </w:tcPr>
          <w:p w14:paraId="58523135" w14:textId="77777777" w:rsidR="001F2309" w:rsidRPr="00912A6A" w:rsidRDefault="001F2309" w:rsidP="00A46C1A">
            <w:pPr>
              <w:spacing w:line="200" w:lineRule="exact"/>
              <w:rPr>
                <w:rFonts w:ascii="Times New Roman" w:hAnsi="Times New Roman"/>
                <w:sz w:val="16"/>
              </w:rPr>
            </w:pPr>
          </w:p>
        </w:tc>
      </w:tr>
    </w:tbl>
    <w:p w14:paraId="1C590F32" w14:textId="77777777" w:rsidR="001F2309" w:rsidRPr="00912A6A" w:rsidRDefault="001F2309" w:rsidP="00A46C1A">
      <w:pPr>
        <w:spacing w:line="100" w:lineRule="exact"/>
        <w:rPr>
          <w:rFonts w:ascii="Times New Roman" w:hAnsi="Times New Roman"/>
          <w:sz w:val="10"/>
        </w:rPr>
      </w:pPr>
    </w:p>
  </w:footnote>
  <w:footnote w:type="continuationSeparator" w:id="0">
    <w:tbl>
      <w:tblPr>
        <w:tblW w:w="0" w:type="auto"/>
        <w:tblBorders>
          <w:bottom w:val="single" w:sz="4" w:space="0" w:color="auto"/>
        </w:tblBorders>
        <w:tblLayout w:type="fixed"/>
        <w:tblCellMar>
          <w:left w:w="0" w:type="dxa"/>
          <w:right w:w="0" w:type="dxa"/>
        </w:tblCellMar>
        <w:tblLook w:val="0000" w:firstRow="0" w:lastRow="0" w:firstColumn="0" w:lastColumn="0" w:noHBand="0" w:noVBand="0"/>
      </w:tblPr>
      <w:tblGrid>
        <w:gridCol w:w="1134"/>
      </w:tblGrid>
      <w:tr w:rsidR="001F2309" w:rsidRPr="00912A6A" w14:paraId="26E4D8C3" w14:textId="77777777" w:rsidTr="00C059B9">
        <w:tc>
          <w:tcPr>
            <w:tcW w:w="1134" w:type="dxa"/>
          </w:tcPr>
          <w:p w14:paraId="2755EFFF" w14:textId="77777777" w:rsidR="001F2309" w:rsidRPr="00912A6A" w:rsidRDefault="001F2309" w:rsidP="00A46C1A">
            <w:pPr>
              <w:spacing w:line="200" w:lineRule="exact"/>
              <w:rPr>
                <w:rFonts w:ascii="Times New Roman" w:hAnsi="Times New Roman"/>
                <w:sz w:val="16"/>
              </w:rPr>
            </w:pPr>
          </w:p>
        </w:tc>
      </w:tr>
    </w:tbl>
    <w:p w14:paraId="345C837D" w14:textId="77777777" w:rsidR="001F2309" w:rsidRPr="00912A6A" w:rsidRDefault="001F2309" w:rsidP="00A46C1A">
      <w:pPr>
        <w:spacing w:line="100" w:lineRule="exact"/>
        <w:rPr>
          <w:rFonts w:ascii="Times New Roman" w:hAnsi="Times New Roman"/>
          <w:sz w:val="10"/>
        </w:rPr>
      </w:pPr>
    </w:p>
  </w:footnote>
  <w:footnote w:type="continuationNotice" w:id="1">
    <w:p w14:paraId="484A2FFD" w14:textId="77777777" w:rsidR="001F2309" w:rsidRPr="00A46C1A" w:rsidRDefault="001F2309" w:rsidP="00A46C1A">
      <w:pPr>
        <w:rPr>
          <w:rFonts w:ascii="Times New Roman" w:hAnsi="Times New Roman"/>
          <w:sz w:val="2"/>
          <w:szCs w:val="2"/>
        </w:rPr>
      </w:pPr>
    </w:p>
  </w:footnote>
  <w:footnote w:id="2">
    <w:p w14:paraId="205A7CC3" w14:textId="295B1301" w:rsidR="000E3D39" w:rsidRPr="00464DEB" w:rsidRDefault="000E3D39" w:rsidP="00214E7A">
      <w:pPr>
        <w:pStyle w:val="Testonotaapidipagina"/>
        <w:rPr>
          <w:szCs w:val="18"/>
        </w:rPr>
      </w:pPr>
      <w:r w:rsidRPr="00464DEB">
        <w:rPr>
          <w:rStyle w:val="Rimandonotaapidipagina"/>
          <w:szCs w:val="18"/>
        </w:rPr>
        <w:t>*</w:t>
      </w:r>
      <w:r>
        <w:rPr>
          <w:szCs w:val="18"/>
          <w:vertAlign w:val="superscript"/>
        </w:rPr>
        <w:t> </w:t>
      </w:r>
      <w:r w:rsidRPr="00853B2F">
        <w:rPr>
          <w:i/>
          <w:szCs w:val="18"/>
        </w:rPr>
        <w:t>Le opinioni espresse sono personali dell’Autore e non riflettono quelle dell’Istituzione di appartenenza</w:t>
      </w:r>
      <w:r w:rsidRPr="00464DEB">
        <w:rPr>
          <w:szCs w:val="18"/>
        </w:rPr>
        <w:t>.</w:t>
      </w:r>
    </w:p>
  </w:footnote>
  <w:footnote w:id="3">
    <w:p w14:paraId="7449500F" w14:textId="25EBB959"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napToGrid w:val="0"/>
          <w:szCs w:val="18"/>
          <w:u w:color="000000"/>
        </w:rPr>
        <w:t xml:space="preserve">Corte giust., 23 aprile 1986, 294/83, </w:t>
      </w:r>
      <w:r w:rsidRPr="00853B2F">
        <w:rPr>
          <w:i/>
          <w:snapToGrid w:val="0"/>
          <w:szCs w:val="18"/>
          <w:u w:color="000000"/>
        </w:rPr>
        <w:t>Parti Ecologiste</w:t>
      </w:r>
      <w:r w:rsidRPr="00464DEB">
        <w:rPr>
          <w:snapToGrid w:val="0"/>
          <w:szCs w:val="18"/>
          <w:u w:color="000000"/>
        </w:rPr>
        <w:t xml:space="preserve"> </w:t>
      </w:r>
      <w:r w:rsidRPr="00853B2F">
        <w:rPr>
          <w:i/>
          <w:snapToGrid w:val="0"/>
          <w:szCs w:val="18"/>
          <w:u w:color="000000"/>
        </w:rPr>
        <w:t>“</w:t>
      </w:r>
      <w:proofErr w:type="spellStart"/>
      <w:r w:rsidRPr="00853B2F">
        <w:rPr>
          <w:i/>
          <w:snapToGrid w:val="0"/>
          <w:szCs w:val="18"/>
          <w:u w:color="000000"/>
        </w:rPr>
        <w:t>Les</w:t>
      </w:r>
      <w:proofErr w:type="spellEnd"/>
      <w:r w:rsidRPr="00853B2F">
        <w:rPr>
          <w:i/>
          <w:snapToGrid w:val="0"/>
          <w:szCs w:val="18"/>
          <w:u w:color="000000"/>
        </w:rPr>
        <w:t xml:space="preserve"> </w:t>
      </w:r>
      <w:proofErr w:type="spellStart"/>
      <w:r w:rsidRPr="00853B2F">
        <w:rPr>
          <w:i/>
          <w:snapToGrid w:val="0"/>
          <w:szCs w:val="18"/>
          <w:u w:color="000000"/>
        </w:rPr>
        <w:t>Verts</w:t>
      </w:r>
      <w:proofErr w:type="spellEnd"/>
      <w:r w:rsidRPr="00853B2F">
        <w:rPr>
          <w:i/>
          <w:snapToGrid w:val="0"/>
          <w:szCs w:val="18"/>
          <w:u w:color="000000"/>
        </w:rPr>
        <w:t>” c. Parlamento</w:t>
      </w:r>
      <w:r w:rsidRPr="00464DEB">
        <w:rPr>
          <w:snapToGrid w:val="0"/>
          <w:szCs w:val="18"/>
          <w:u w:color="000000"/>
        </w:rPr>
        <w:t xml:space="preserve">, punto 23. Cfr. anche </w:t>
      </w:r>
      <w:r w:rsidRPr="00464DEB">
        <w:rPr>
          <w:szCs w:val="18"/>
        </w:rPr>
        <w:t>Corte giust. (Grande Sez</w:t>
      </w:r>
      <w:r>
        <w:rPr>
          <w:szCs w:val="18"/>
        </w:rPr>
        <w:t>.</w:t>
      </w:r>
      <w:r w:rsidRPr="00464DEB">
        <w:rPr>
          <w:szCs w:val="18"/>
        </w:rPr>
        <w:t>), 3 settembre 2008, C</w:t>
      </w:r>
      <w:r w:rsidRPr="00464DEB">
        <w:rPr>
          <w:szCs w:val="18"/>
        </w:rPr>
        <w:noBreakHyphen/>
        <w:t>402/05 P e C</w:t>
      </w:r>
      <w:r w:rsidRPr="00464DEB">
        <w:rPr>
          <w:szCs w:val="18"/>
        </w:rPr>
        <w:noBreakHyphen/>
        <w:t xml:space="preserve">415/05 P, </w:t>
      </w:r>
      <w:r w:rsidRPr="00853B2F">
        <w:rPr>
          <w:i/>
          <w:szCs w:val="18"/>
        </w:rPr>
        <w:t xml:space="preserve">Kadi e Al </w:t>
      </w:r>
      <w:proofErr w:type="spellStart"/>
      <w:r w:rsidRPr="00853B2F">
        <w:rPr>
          <w:i/>
          <w:szCs w:val="18"/>
        </w:rPr>
        <w:t>Barakaat</w:t>
      </w:r>
      <w:proofErr w:type="spellEnd"/>
      <w:r w:rsidRPr="00853B2F">
        <w:rPr>
          <w:i/>
          <w:szCs w:val="18"/>
        </w:rPr>
        <w:t xml:space="preserve"> International Foundation c. Consiglio e Commissione</w:t>
      </w:r>
      <w:r w:rsidRPr="00464DEB">
        <w:rPr>
          <w:szCs w:val="18"/>
        </w:rPr>
        <w:t>, punto 281; (Grande Sez</w:t>
      </w:r>
      <w:r>
        <w:rPr>
          <w:szCs w:val="18"/>
        </w:rPr>
        <w:t>.</w:t>
      </w:r>
      <w:r w:rsidRPr="00464DEB">
        <w:rPr>
          <w:szCs w:val="18"/>
        </w:rPr>
        <w:t>), 3 giugno 2021, C</w:t>
      </w:r>
      <w:r w:rsidRPr="00464DEB">
        <w:rPr>
          <w:szCs w:val="18"/>
        </w:rPr>
        <w:noBreakHyphen/>
        <w:t xml:space="preserve">650/18, </w:t>
      </w:r>
      <w:r w:rsidRPr="00853B2F">
        <w:rPr>
          <w:i/>
          <w:szCs w:val="18"/>
        </w:rPr>
        <w:t>Ungheria c. Parlamento</w:t>
      </w:r>
      <w:r w:rsidRPr="00464DEB">
        <w:rPr>
          <w:szCs w:val="18"/>
        </w:rPr>
        <w:t>, punto 34; (Grande Sez</w:t>
      </w:r>
      <w:r>
        <w:rPr>
          <w:szCs w:val="18"/>
        </w:rPr>
        <w:t>.</w:t>
      </w:r>
      <w:r w:rsidRPr="00464DEB">
        <w:rPr>
          <w:szCs w:val="18"/>
        </w:rPr>
        <w:t xml:space="preserve">), </w:t>
      </w:r>
      <w:r w:rsidRPr="00464DEB">
        <w:rPr>
          <w:snapToGrid w:val="0"/>
          <w:szCs w:val="18"/>
          <w:u w:color="000000"/>
        </w:rPr>
        <w:t xml:space="preserve">14 luglio 2022, C-743/19, </w:t>
      </w:r>
      <w:r w:rsidRPr="00853B2F">
        <w:rPr>
          <w:i/>
          <w:snapToGrid w:val="0"/>
          <w:szCs w:val="18"/>
          <w:u w:color="000000"/>
        </w:rPr>
        <w:t>Parlamento c. Consiglio</w:t>
      </w:r>
      <w:r w:rsidRPr="00464DEB">
        <w:rPr>
          <w:snapToGrid w:val="0"/>
          <w:szCs w:val="18"/>
          <w:u w:color="000000"/>
        </w:rPr>
        <w:t>, punto 35</w:t>
      </w:r>
      <w:r w:rsidRPr="00464DEB">
        <w:rPr>
          <w:szCs w:val="18"/>
        </w:rPr>
        <w:t>.</w:t>
      </w:r>
    </w:p>
  </w:footnote>
  <w:footnote w:id="4">
    <w:p w14:paraId="60862CA1" w14:textId="02B33425"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Corte giust., 15 maggio 1986, 222/84,</w:t>
      </w:r>
      <w:r w:rsidRPr="00853B2F">
        <w:rPr>
          <w:i/>
          <w:szCs w:val="18"/>
        </w:rPr>
        <w:t xml:space="preserve"> Johnston c. </w:t>
      </w:r>
      <w:proofErr w:type="spellStart"/>
      <w:r w:rsidRPr="00853B2F">
        <w:rPr>
          <w:i/>
          <w:szCs w:val="18"/>
        </w:rPr>
        <w:t>Chief</w:t>
      </w:r>
      <w:proofErr w:type="spellEnd"/>
      <w:r w:rsidRPr="00853B2F">
        <w:rPr>
          <w:i/>
          <w:szCs w:val="18"/>
        </w:rPr>
        <w:t xml:space="preserve"> Constable of the Royal Ulster </w:t>
      </w:r>
      <w:proofErr w:type="spellStart"/>
      <w:r w:rsidRPr="00853B2F">
        <w:rPr>
          <w:i/>
          <w:szCs w:val="18"/>
        </w:rPr>
        <w:t>Constabulary</w:t>
      </w:r>
      <w:proofErr w:type="spellEnd"/>
      <w:r w:rsidRPr="00464DEB">
        <w:rPr>
          <w:szCs w:val="18"/>
        </w:rPr>
        <w:t xml:space="preserve">, punto 18; nonché Corte giust., 3 dicembre 1992, C-97/91, </w:t>
      </w:r>
      <w:r w:rsidRPr="00853B2F">
        <w:rPr>
          <w:i/>
          <w:szCs w:val="18"/>
        </w:rPr>
        <w:t xml:space="preserve">Oleifici Borelli </w:t>
      </w:r>
      <w:proofErr w:type="spellStart"/>
      <w:r w:rsidRPr="00853B2F">
        <w:rPr>
          <w:i/>
          <w:szCs w:val="18"/>
        </w:rPr>
        <w:t>SpA</w:t>
      </w:r>
      <w:proofErr w:type="spellEnd"/>
      <w:r w:rsidRPr="00853B2F">
        <w:rPr>
          <w:i/>
          <w:szCs w:val="18"/>
        </w:rPr>
        <w:t xml:space="preserve"> c. Commissione</w:t>
      </w:r>
      <w:r w:rsidRPr="00464DEB">
        <w:rPr>
          <w:szCs w:val="18"/>
        </w:rPr>
        <w:t xml:space="preserve">, punto 14; 25 luglio 2002, C-50/00 P, </w:t>
      </w:r>
      <w:proofErr w:type="spellStart"/>
      <w:r w:rsidRPr="00853B2F">
        <w:rPr>
          <w:i/>
          <w:szCs w:val="18"/>
        </w:rPr>
        <w:t>Unión</w:t>
      </w:r>
      <w:proofErr w:type="spellEnd"/>
      <w:r w:rsidRPr="00853B2F">
        <w:rPr>
          <w:i/>
          <w:szCs w:val="18"/>
        </w:rPr>
        <w:t xml:space="preserve"> de </w:t>
      </w:r>
      <w:proofErr w:type="spellStart"/>
      <w:r w:rsidRPr="00853B2F">
        <w:rPr>
          <w:i/>
          <w:szCs w:val="18"/>
        </w:rPr>
        <w:t>Pequeños</w:t>
      </w:r>
      <w:proofErr w:type="spellEnd"/>
      <w:r w:rsidRPr="00853B2F">
        <w:rPr>
          <w:i/>
          <w:szCs w:val="18"/>
        </w:rPr>
        <w:t xml:space="preserve"> </w:t>
      </w:r>
      <w:proofErr w:type="spellStart"/>
      <w:r w:rsidRPr="00853B2F">
        <w:rPr>
          <w:i/>
          <w:szCs w:val="18"/>
        </w:rPr>
        <w:t>Agricultores</w:t>
      </w:r>
      <w:proofErr w:type="spellEnd"/>
      <w:r w:rsidRPr="00853B2F">
        <w:rPr>
          <w:i/>
          <w:szCs w:val="18"/>
        </w:rPr>
        <w:t xml:space="preserve"> c. Consiglio</w:t>
      </w:r>
      <w:r w:rsidRPr="00464DEB">
        <w:rPr>
          <w:szCs w:val="18"/>
        </w:rPr>
        <w:t>, punto 39.</w:t>
      </w:r>
    </w:p>
  </w:footnote>
  <w:footnote w:id="5">
    <w:p w14:paraId="42CD7E24" w14:textId="21B9AD58" w:rsidR="000E3D39" w:rsidRPr="00DF624F" w:rsidRDefault="000E3D39" w:rsidP="00707972">
      <w:pPr>
        <w:pStyle w:val="Testonotaapidipagina"/>
        <w:rPr>
          <w:spacing w:val="-1"/>
          <w:szCs w:val="18"/>
        </w:rPr>
      </w:pPr>
      <w:r w:rsidRPr="00DF624F">
        <w:rPr>
          <w:rStyle w:val="Rimandonotaapidipagina"/>
          <w:spacing w:val="-1"/>
          <w:szCs w:val="18"/>
        </w:rPr>
        <w:footnoteRef/>
      </w:r>
      <w:r w:rsidRPr="00DF624F">
        <w:rPr>
          <w:spacing w:val="-1"/>
          <w:szCs w:val="18"/>
          <w:vertAlign w:val="superscript"/>
        </w:rPr>
        <w:t> </w:t>
      </w:r>
      <w:r w:rsidRPr="00DF624F">
        <w:rPr>
          <w:spacing w:val="-1"/>
          <w:szCs w:val="18"/>
        </w:rPr>
        <w:t>Corte giust. (Grande Sez</w:t>
      </w:r>
      <w:r>
        <w:rPr>
          <w:spacing w:val="-1"/>
          <w:szCs w:val="18"/>
        </w:rPr>
        <w:t>.</w:t>
      </w:r>
      <w:r w:rsidRPr="00DF624F">
        <w:rPr>
          <w:spacing w:val="-1"/>
          <w:szCs w:val="18"/>
        </w:rPr>
        <w:t xml:space="preserve">), 28 marzo 2017, C-72/15, </w:t>
      </w:r>
      <w:r w:rsidRPr="00DF624F">
        <w:rPr>
          <w:i/>
          <w:spacing w:val="-1"/>
          <w:szCs w:val="18"/>
        </w:rPr>
        <w:t>Rosneft</w:t>
      </w:r>
      <w:r w:rsidRPr="00DF624F">
        <w:rPr>
          <w:spacing w:val="-1"/>
          <w:szCs w:val="18"/>
        </w:rPr>
        <w:t>, punto 73: «L’esistenza stessa di un controllo giurisdizionale effettivo, destinato ad assicurare il rispetto delle disposizioni del diritto dell’Unione, è intrinseca all’esistenza di uno Stato di diritto». In questo senso anche, e</w:t>
      </w:r>
      <w:r w:rsidRPr="00DF624F">
        <w:rPr>
          <w:i/>
          <w:spacing w:val="-1"/>
          <w:szCs w:val="18"/>
        </w:rPr>
        <w:t xml:space="preserve">x </w:t>
      </w:r>
      <w:proofErr w:type="spellStart"/>
      <w:r w:rsidRPr="00DF624F">
        <w:rPr>
          <w:i/>
          <w:spacing w:val="-1"/>
          <w:szCs w:val="18"/>
        </w:rPr>
        <w:t>multis</w:t>
      </w:r>
      <w:proofErr w:type="spellEnd"/>
      <w:r w:rsidRPr="00DF624F">
        <w:rPr>
          <w:spacing w:val="-1"/>
          <w:szCs w:val="18"/>
        </w:rPr>
        <w:t xml:space="preserve">, Corte </w:t>
      </w:r>
      <w:proofErr w:type="spellStart"/>
      <w:r w:rsidRPr="00DF624F">
        <w:rPr>
          <w:spacing w:val="-1"/>
          <w:szCs w:val="18"/>
        </w:rPr>
        <w:t>giust</w:t>
      </w:r>
      <w:proofErr w:type="spellEnd"/>
      <w:r w:rsidRPr="00DF624F">
        <w:rPr>
          <w:spacing w:val="-1"/>
          <w:szCs w:val="18"/>
        </w:rPr>
        <w:t>. (Grande Sez</w:t>
      </w:r>
      <w:r>
        <w:rPr>
          <w:spacing w:val="-1"/>
          <w:szCs w:val="18"/>
        </w:rPr>
        <w:t>.</w:t>
      </w:r>
      <w:r w:rsidRPr="00DF624F">
        <w:rPr>
          <w:spacing w:val="-1"/>
          <w:szCs w:val="18"/>
        </w:rPr>
        <w:t>), 24 giugno 2019, C</w:t>
      </w:r>
      <w:r w:rsidRPr="00DF624F">
        <w:rPr>
          <w:spacing w:val="-1"/>
          <w:szCs w:val="18"/>
        </w:rPr>
        <w:noBreakHyphen/>
        <w:t xml:space="preserve">619/18, </w:t>
      </w:r>
      <w:r w:rsidRPr="00DF624F">
        <w:rPr>
          <w:i/>
          <w:spacing w:val="-1"/>
          <w:szCs w:val="18"/>
        </w:rPr>
        <w:t>Commissione c. Polonia (Indipendenza della Corte suprema)</w:t>
      </w:r>
      <w:r w:rsidRPr="00DF624F">
        <w:rPr>
          <w:spacing w:val="-1"/>
          <w:szCs w:val="18"/>
        </w:rPr>
        <w:t>, punto 47; (Grande Sez</w:t>
      </w:r>
      <w:r>
        <w:rPr>
          <w:spacing w:val="-1"/>
          <w:szCs w:val="18"/>
        </w:rPr>
        <w:t>.</w:t>
      </w:r>
      <w:r w:rsidRPr="00DF624F">
        <w:rPr>
          <w:spacing w:val="-1"/>
          <w:szCs w:val="18"/>
        </w:rPr>
        <w:t>), 21 dicembre 2021, C</w:t>
      </w:r>
      <w:r w:rsidRPr="00DF624F">
        <w:rPr>
          <w:spacing w:val="-1"/>
          <w:szCs w:val="18"/>
        </w:rPr>
        <w:noBreakHyphen/>
        <w:t>357/19, C</w:t>
      </w:r>
      <w:r w:rsidRPr="00DF624F">
        <w:rPr>
          <w:spacing w:val="-1"/>
          <w:szCs w:val="18"/>
        </w:rPr>
        <w:noBreakHyphen/>
        <w:t>379/19, C</w:t>
      </w:r>
      <w:r w:rsidRPr="00DF624F">
        <w:rPr>
          <w:spacing w:val="-1"/>
          <w:szCs w:val="18"/>
        </w:rPr>
        <w:noBreakHyphen/>
        <w:t>547/19, C</w:t>
      </w:r>
      <w:r w:rsidRPr="00DF624F">
        <w:rPr>
          <w:spacing w:val="-1"/>
          <w:szCs w:val="18"/>
        </w:rPr>
        <w:noBreakHyphen/>
        <w:t>811/19 e C</w:t>
      </w:r>
      <w:r w:rsidRPr="00DF624F">
        <w:rPr>
          <w:spacing w:val="-1"/>
          <w:szCs w:val="18"/>
        </w:rPr>
        <w:noBreakHyphen/>
        <w:t xml:space="preserve">840/19, </w:t>
      </w:r>
      <w:r w:rsidRPr="00DF624F">
        <w:rPr>
          <w:i/>
          <w:spacing w:val="-1"/>
          <w:szCs w:val="18"/>
        </w:rPr>
        <w:t>Euro Box Promotion e a.</w:t>
      </w:r>
      <w:r w:rsidRPr="00DF624F">
        <w:rPr>
          <w:spacing w:val="-1"/>
          <w:szCs w:val="18"/>
        </w:rPr>
        <w:t>, punto 217; (Grande Sez</w:t>
      </w:r>
      <w:r>
        <w:rPr>
          <w:spacing w:val="-1"/>
          <w:szCs w:val="18"/>
        </w:rPr>
        <w:t>.</w:t>
      </w:r>
      <w:r w:rsidRPr="00DF624F">
        <w:rPr>
          <w:spacing w:val="-1"/>
          <w:szCs w:val="18"/>
        </w:rPr>
        <w:t xml:space="preserve">), 22 febbraio 2022, C-430/21, </w:t>
      </w:r>
      <w:r w:rsidRPr="00DF624F">
        <w:rPr>
          <w:i/>
          <w:spacing w:val="-1"/>
          <w:szCs w:val="18"/>
        </w:rPr>
        <w:t>RS (Efficacia delle sentenze di una Corte costituzionale)</w:t>
      </w:r>
      <w:r w:rsidRPr="00DF624F">
        <w:rPr>
          <w:spacing w:val="-1"/>
          <w:szCs w:val="18"/>
        </w:rPr>
        <w:t>, punto 39.</w:t>
      </w:r>
    </w:p>
  </w:footnote>
  <w:footnote w:id="6">
    <w:p w14:paraId="32209D6B" w14:textId="6B2E1DC9"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V. </w:t>
      </w:r>
      <w:r w:rsidRPr="00853B2F">
        <w:rPr>
          <w:i/>
          <w:iCs/>
          <w:szCs w:val="18"/>
        </w:rPr>
        <w:t>infra</w:t>
      </w:r>
      <w:r w:rsidRPr="00464DEB">
        <w:rPr>
          <w:szCs w:val="18"/>
        </w:rPr>
        <w:t>, cap. 6.</w:t>
      </w:r>
    </w:p>
  </w:footnote>
  <w:footnote w:id="7">
    <w:p w14:paraId="4C332C46" w14:textId="0CB8F3FD" w:rsidR="000E3D39" w:rsidRPr="00A32F64" w:rsidRDefault="000E3D39">
      <w:pPr>
        <w:pStyle w:val="Testonotaapidipagina"/>
        <w:rPr>
          <w:lang w:val="fr-FR"/>
        </w:rPr>
      </w:pPr>
      <w:r>
        <w:rPr>
          <w:rStyle w:val="Rimandonotaapidipagina"/>
        </w:rPr>
        <w:footnoteRef/>
      </w:r>
      <w:r w:rsidR="00651730" w:rsidRPr="00651730">
        <w:rPr>
          <w:vertAlign w:val="superscript"/>
        </w:rPr>
        <w:t> </w:t>
      </w:r>
      <w:r>
        <w:t xml:space="preserve">Corte </w:t>
      </w:r>
      <w:proofErr w:type="spellStart"/>
      <w:r>
        <w:t>giust</w:t>
      </w:r>
      <w:proofErr w:type="spellEnd"/>
      <w:r>
        <w:t xml:space="preserve">. </w:t>
      </w:r>
      <w:r w:rsidRPr="00A32F64">
        <w:rPr>
          <w:lang w:val="fr-FR"/>
        </w:rPr>
        <w:t xml:space="preserve">(Grande </w:t>
      </w:r>
      <w:proofErr w:type="spellStart"/>
      <w:r w:rsidRPr="00A32F64">
        <w:rPr>
          <w:lang w:val="fr-FR"/>
        </w:rPr>
        <w:t>Sez</w:t>
      </w:r>
      <w:proofErr w:type="spellEnd"/>
      <w:r w:rsidRPr="00A32F64">
        <w:rPr>
          <w:lang w:val="fr-FR"/>
        </w:rPr>
        <w:t xml:space="preserve">.), 10 </w:t>
      </w:r>
      <w:proofErr w:type="spellStart"/>
      <w:r w:rsidRPr="00A32F64">
        <w:rPr>
          <w:lang w:val="fr-FR"/>
        </w:rPr>
        <w:t>settembre</w:t>
      </w:r>
      <w:proofErr w:type="spellEnd"/>
      <w:r w:rsidRPr="00A32F64">
        <w:rPr>
          <w:lang w:val="fr-FR"/>
        </w:rPr>
        <w:t xml:space="preserve"> 2024, </w:t>
      </w:r>
      <w:proofErr w:type="spellStart"/>
      <w:r w:rsidRPr="00A32F64">
        <w:rPr>
          <w:i/>
          <w:lang w:val="fr-FR"/>
        </w:rPr>
        <w:t>Neves</w:t>
      </w:r>
      <w:proofErr w:type="spellEnd"/>
      <w:r w:rsidRPr="00A32F64">
        <w:rPr>
          <w:i/>
          <w:lang w:val="fr-FR"/>
        </w:rPr>
        <w:t xml:space="preserve"> 77 Solution</w:t>
      </w:r>
      <w:r w:rsidRPr="00A32F64">
        <w:rPr>
          <w:lang w:val="fr-FR"/>
        </w:rPr>
        <w:t xml:space="preserve">, C-351/22, </w:t>
      </w:r>
      <w:proofErr w:type="spellStart"/>
      <w:r w:rsidRPr="00A32F64">
        <w:rPr>
          <w:lang w:val="fr-FR"/>
        </w:rPr>
        <w:t>punto</w:t>
      </w:r>
      <w:proofErr w:type="spellEnd"/>
      <w:r w:rsidRPr="00A32F64">
        <w:rPr>
          <w:lang w:val="fr-FR"/>
        </w:rPr>
        <w:t xml:space="preserve"> 34 </w:t>
      </w:r>
      <w:proofErr w:type="spellStart"/>
      <w:r w:rsidRPr="00A32F64">
        <w:rPr>
          <w:lang w:val="fr-FR"/>
        </w:rPr>
        <w:t>ss</w:t>
      </w:r>
      <w:proofErr w:type="spellEnd"/>
      <w:r w:rsidRPr="00A32F64">
        <w:rPr>
          <w:lang w:val="fr-FR"/>
        </w:rPr>
        <w:t>.</w:t>
      </w:r>
    </w:p>
  </w:footnote>
  <w:footnote w:id="8">
    <w:p w14:paraId="6E04CBA7" w14:textId="3AE33673"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Corte </w:t>
      </w:r>
      <w:proofErr w:type="spellStart"/>
      <w:r w:rsidRPr="00464DEB">
        <w:rPr>
          <w:szCs w:val="18"/>
        </w:rPr>
        <w:t>giust</w:t>
      </w:r>
      <w:proofErr w:type="spellEnd"/>
      <w:r w:rsidRPr="00464DEB">
        <w:rPr>
          <w:szCs w:val="18"/>
        </w:rPr>
        <w:t>. (Grande Sez</w:t>
      </w:r>
      <w:r>
        <w:rPr>
          <w:szCs w:val="18"/>
        </w:rPr>
        <w:t>.</w:t>
      </w:r>
      <w:r w:rsidRPr="00464DEB">
        <w:rPr>
          <w:szCs w:val="18"/>
        </w:rPr>
        <w:t xml:space="preserve">), 19 luglio 2012, C-130/10, </w:t>
      </w:r>
      <w:r w:rsidRPr="00853B2F">
        <w:rPr>
          <w:i/>
          <w:szCs w:val="18"/>
        </w:rPr>
        <w:t>Parlamento c. Consiglio</w:t>
      </w:r>
      <w:r w:rsidRPr="00464DEB">
        <w:rPr>
          <w:szCs w:val="18"/>
        </w:rPr>
        <w:t xml:space="preserve"> (</w:t>
      </w:r>
      <w:r w:rsidRPr="00853B2F">
        <w:rPr>
          <w:i/>
          <w:szCs w:val="18"/>
        </w:rPr>
        <w:t xml:space="preserve">Smart </w:t>
      </w:r>
      <w:proofErr w:type="spellStart"/>
      <w:r w:rsidRPr="00853B2F">
        <w:rPr>
          <w:i/>
          <w:szCs w:val="18"/>
        </w:rPr>
        <w:t>sanctions</w:t>
      </w:r>
      <w:proofErr w:type="spellEnd"/>
      <w:r w:rsidRPr="00464DEB">
        <w:rPr>
          <w:szCs w:val="18"/>
        </w:rPr>
        <w:t xml:space="preserve">), punto 66; </w:t>
      </w:r>
      <w:proofErr w:type="spellStart"/>
      <w:r w:rsidRPr="00464DEB">
        <w:rPr>
          <w:szCs w:val="18"/>
        </w:rPr>
        <w:t>Trib</w:t>
      </w:r>
      <w:proofErr w:type="spellEnd"/>
      <w:r w:rsidRPr="00464DEB">
        <w:rPr>
          <w:szCs w:val="18"/>
        </w:rPr>
        <w:t>. (Grande Sez</w:t>
      </w:r>
      <w:r>
        <w:rPr>
          <w:szCs w:val="18"/>
        </w:rPr>
        <w:t>.</w:t>
      </w:r>
      <w:r w:rsidRPr="00464DEB">
        <w:rPr>
          <w:szCs w:val="18"/>
        </w:rPr>
        <w:t xml:space="preserve">), 27 luglio 2022, T-125/22, </w:t>
      </w:r>
      <w:r w:rsidRPr="00853B2F">
        <w:rPr>
          <w:i/>
          <w:szCs w:val="18"/>
        </w:rPr>
        <w:t>RT France</w:t>
      </w:r>
      <w:r w:rsidRPr="00464DEB">
        <w:rPr>
          <w:szCs w:val="18"/>
        </w:rPr>
        <w:t>, punti 60-61.</w:t>
      </w:r>
    </w:p>
  </w:footnote>
  <w:footnote w:id="9">
    <w:p w14:paraId="06D0055F" w14:textId="13AF98E2" w:rsidR="000E3D39" w:rsidRDefault="000E3D39">
      <w:pPr>
        <w:pStyle w:val="Testonotaapidipagina"/>
      </w:pPr>
      <w:r>
        <w:rPr>
          <w:rStyle w:val="Rimandonotaapidipagina"/>
        </w:rPr>
        <w:footnoteRef/>
      </w:r>
      <w:r w:rsidR="00651730" w:rsidRPr="00651730">
        <w:rPr>
          <w:vertAlign w:val="superscript"/>
        </w:rPr>
        <w:t> </w:t>
      </w:r>
      <w:r>
        <w:t>Lo stesso ragionamento non vale per le misure PESC di carattere generale il cui campo di applicazione è definito non con riferimento a persone fisiche o giuridiche identificate, ma in base a criteri oggettivi. In questi casi, le persone coinvolte dalle misure di carattere generale hanno comunque la facoltà di impugnare i regolamenti, adottati in base all’art. 215 TFUE, che danno esecuzione alle decisioni PESC nell’ordinamento dell’Unione (Corte giust</w:t>
      </w:r>
      <w:r w:rsidRPr="00100857">
        <w:rPr>
          <w:i/>
        </w:rPr>
        <w:t>, Neves 77 Solutions</w:t>
      </w:r>
      <w:r>
        <w:t>, cit., punti 37-40)</w:t>
      </w:r>
    </w:p>
  </w:footnote>
  <w:footnote w:id="10">
    <w:p w14:paraId="00B0EB96" w14:textId="40D0B4F1" w:rsidR="000E3D39" w:rsidRPr="00DF624F" w:rsidRDefault="000E3D39" w:rsidP="00214E7A">
      <w:pPr>
        <w:pStyle w:val="Testonotaapidipagina"/>
        <w:rPr>
          <w:spacing w:val="-1"/>
          <w:szCs w:val="18"/>
        </w:rPr>
      </w:pPr>
      <w:r w:rsidRPr="00DF624F">
        <w:rPr>
          <w:rStyle w:val="Rimandonotaapidipagina"/>
          <w:spacing w:val="-1"/>
          <w:szCs w:val="18"/>
        </w:rPr>
        <w:footnoteRef/>
      </w:r>
      <w:r w:rsidRPr="00DF624F">
        <w:rPr>
          <w:spacing w:val="-1"/>
          <w:szCs w:val="18"/>
          <w:vertAlign w:val="superscript"/>
        </w:rPr>
        <w:t> </w:t>
      </w:r>
      <w:r w:rsidRPr="00DF624F">
        <w:rPr>
          <w:spacing w:val="-1"/>
          <w:szCs w:val="18"/>
        </w:rPr>
        <w:t xml:space="preserve">Interpretando l’art. 275 alla luce di questo obiettivo (e quindi dell’art. 47 </w:t>
      </w:r>
      <w:r>
        <w:t xml:space="preserve">CDFUE </w:t>
      </w:r>
      <w:r w:rsidRPr="00DF624F">
        <w:rPr>
          <w:spacing w:val="-1"/>
          <w:szCs w:val="18"/>
        </w:rPr>
        <w:t xml:space="preserve">che codifica il principio della tutela giurisdizionale effettiva), ed andando al di là della lettera del par. 1, la Corte ha esteso la propria competenza anche alle </w:t>
      </w:r>
      <w:r w:rsidRPr="00DF624F">
        <w:rPr>
          <w:i/>
          <w:iCs/>
          <w:spacing w:val="-1"/>
          <w:szCs w:val="18"/>
        </w:rPr>
        <w:t>questioni pregiudiziali di validità</w:t>
      </w:r>
      <w:r w:rsidRPr="00DF624F">
        <w:rPr>
          <w:spacing w:val="-1"/>
          <w:szCs w:val="18"/>
        </w:rPr>
        <w:t xml:space="preserve"> rivolte da un giudice nazionale ai sensi dell’art. 267 TFUE e concernenti le disposizioni contenute nelle decisioni adottate dal Consiglio in materia di PESC che comportano misure restrittive nei confronti di persone fisiche o giuridiche. Cfr. Corte giust. (Grande Sez</w:t>
      </w:r>
      <w:r>
        <w:rPr>
          <w:spacing w:val="-1"/>
          <w:szCs w:val="18"/>
        </w:rPr>
        <w:t>.</w:t>
      </w:r>
      <w:r w:rsidRPr="00DF624F">
        <w:rPr>
          <w:spacing w:val="-1"/>
          <w:szCs w:val="18"/>
        </w:rPr>
        <w:t xml:space="preserve">), 28 marzo 2017, </w:t>
      </w:r>
      <w:r w:rsidRPr="00DF624F">
        <w:rPr>
          <w:i/>
          <w:spacing w:val="-1"/>
          <w:szCs w:val="18"/>
        </w:rPr>
        <w:t>Rosneft</w:t>
      </w:r>
      <w:r w:rsidRPr="00DF624F">
        <w:rPr>
          <w:spacing w:val="-1"/>
          <w:szCs w:val="18"/>
        </w:rPr>
        <w:t>, cit., punti 64 ss.; sulla base di un ragionamento simile, nonché sulla necessità di interpretare restrittivamente l’art. 275, primo comma, TFUE in quanto introduce una deroga alla regola della competenza generale che l’art. 19 TUE conferisce alla Corte di giustizia dell’Unione europea per assicurare il rispetto del diritto nell’interpretazione e nell’applicazione dei Trattati, ha inoltre esteso la propria giurisdizione anche alle domande dirette ad ottenere il risarcimento del danno asseritamente subito a causa di misure restrittive previste da decisioni rientranti nella PESC, fondate sul</w:t>
      </w:r>
      <w:r w:rsidRPr="00DF624F">
        <w:rPr>
          <w:spacing w:val="-1"/>
          <w:szCs w:val="18"/>
        </w:rPr>
        <w:softHyphen/>
        <w:t>l’art. 29 TUE. Cfr. Corte giust. (Grande Sez</w:t>
      </w:r>
      <w:r>
        <w:rPr>
          <w:spacing w:val="-1"/>
          <w:szCs w:val="18"/>
        </w:rPr>
        <w:t>.</w:t>
      </w:r>
      <w:r w:rsidRPr="00DF624F">
        <w:rPr>
          <w:spacing w:val="-1"/>
          <w:szCs w:val="18"/>
        </w:rPr>
        <w:t>), 6 ottobre 2020, C</w:t>
      </w:r>
      <w:r w:rsidR="00D313CF">
        <w:rPr>
          <w:rFonts w:ascii="Times New Roman" w:hAnsi="Times New Roman"/>
          <w:spacing w:val="-1"/>
          <w:szCs w:val="18"/>
        </w:rPr>
        <w:t>-</w:t>
      </w:r>
      <w:r w:rsidRPr="00DF624F">
        <w:rPr>
          <w:spacing w:val="-1"/>
          <w:szCs w:val="18"/>
        </w:rPr>
        <w:t xml:space="preserve">134/19 P, </w:t>
      </w:r>
      <w:r w:rsidRPr="00DF624F">
        <w:rPr>
          <w:i/>
          <w:iCs/>
          <w:spacing w:val="-1"/>
          <w:szCs w:val="18"/>
        </w:rPr>
        <w:t xml:space="preserve">Bank </w:t>
      </w:r>
      <w:proofErr w:type="spellStart"/>
      <w:r w:rsidRPr="00DF624F">
        <w:rPr>
          <w:i/>
          <w:iCs/>
          <w:spacing w:val="-1"/>
          <w:szCs w:val="18"/>
        </w:rPr>
        <w:t>Refah</w:t>
      </w:r>
      <w:proofErr w:type="spellEnd"/>
      <w:r w:rsidRPr="00DF624F">
        <w:rPr>
          <w:spacing w:val="-1"/>
          <w:szCs w:val="18"/>
        </w:rPr>
        <w:t>, punti 23 ss.</w:t>
      </w:r>
    </w:p>
  </w:footnote>
  <w:footnote w:id="11">
    <w:p w14:paraId="1A2795B9" w14:textId="4E73DCFE"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Si tratta del Trattato che istituisce il Meccanismo europeo di stabilità (</w:t>
      </w:r>
      <w:proofErr w:type="spellStart"/>
      <w:r w:rsidRPr="00464DEB">
        <w:rPr>
          <w:szCs w:val="18"/>
        </w:rPr>
        <w:t>Tr</w:t>
      </w:r>
      <w:proofErr w:type="spellEnd"/>
      <w:r w:rsidR="00F756EB">
        <w:rPr>
          <w:szCs w:val="18"/>
        </w:rPr>
        <w:t>.</w:t>
      </w:r>
      <w:r w:rsidRPr="00464DEB">
        <w:rPr>
          <w:szCs w:val="18"/>
        </w:rPr>
        <w:t xml:space="preserve"> MES) (Bruxelles, 2 febbraio 2012) e del Trattato sulla stabilità, coordinamento e governance nell’Unione economica e monetaria (</w:t>
      </w:r>
      <w:proofErr w:type="spellStart"/>
      <w:r w:rsidRPr="00464DEB">
        <w:rPr>
          <w:szCs w:val="18"/>
        </w:rPr>
        <w:t>Tr</w:t>
      </w:r>
      <w:proofErr w:type="spellEnd"/>
      <w:r w:rsidR="00F756EB">
        <w:rPr>
          <w:szCs w:val="18"/>
        </w:rPr>
        <w:t>.</w:t>
      </w:r>
      <w:r w:rsidRPr="00464DEB">
        <w:rPr>
          <w:szCs w:val="18"/>
        </w:rPr>
        <w:t xml:space="preserve"> SCG) (Bruxelles, 2 marzo 2012), noto anche come </w:t>
      </w:r>
      <w:r w:rsidRPr="00853B2F">
        <w:rPr>
          <w:i/>
          <w:iCs/>
          <w:szCs w:val="18"/>
        </w:rPr>
        <w:t>Fiscal Compact</w:t>
      </w:r>
      <w:r w:rsidRPr="00464DEB">
        <w:rPr>
          <w:szCs w:val="18"/>
        </w:rPr>
        <w:t>.</w:t>
      </w:r>
    </w:p>
  </w:footnote>
  <w:footnote w:id="12">
    <w:p w14:paraId="0056DD34" w14:textId="236A0186"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l’art. 37 ed il Considerando 16 del </w:t>
      </w:r>
      <w:proofErr w:type="spellStart"/>
      <w:r w:rsidRPr="00464DEB">
        <w:rPr>
          <w:szCs w:val="18"/>
        </w:rPr>
        <w:t>Tr</w:t>
      </w:r>
      <w:proofErr w:type="spellEnd"/>
      <w:r w:rsidR="00F756EB">
        <w:rPr>
          <w:szCs w:val="18"/>
        </w:rPr>
        <w:t>.</w:t>
      </w:r>
      <w:r w:rsidRPr="00464DEB">
        <w:rPr>
          <w:szCs w:val="18"/>
        </w:rPr>
        <w:t xml:space="preserve"> MES.</w:t>
      </w:r>
    </w:p>
  </w:footnote>
  <w:footnote w:id="13">
    <w:p w14:paraId="3107F8E7" w14:textId="67AC11A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V. </w:t>
      </w:r>
      <w:r w:rsidRPr="00853B2F">
        <w:rPr>
          <w:i/>
          <w:szCs w:val="18"/>
        </w:rPr>
        <w:t>infra</w:t>
      </w:r>
      <w:r w:rsidRPr="00464DEB">
        <w:rPr>
          <w:szCs w:val="18"/>
        </w:rPr>
        <w:t>, cap. 3.</w:t>
      </w:r>
    </w:p>
  </w:footnote>
  <w:footnote w:id="14">
    <w:p w14:paraId="45A2D9B1" w14:textId="2A2F6967"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V. ad es. la citata sentenza </w:t>
      </w:r>
      <w:r w:rsidRPr="00853B2F">
        <w:rPr>
          <w:i/>
          <w:szCs w:val="18"/>
        </w:rPr>
        <w:t>RS (Efficacia delle sentenze di una Corte costituzionale)</w:t>
      </w:r>
      <w:r w:rsidRPr="00464DEB">
        <w:rPr>
          <w:szCs w:val="18"/>
        </w:rPr>
        <w:t>, ove si legge che «l’articolo 19, paragrafo 1, secondo comma, TUE, in combinato disposto con l’articolo 2 e l’articolo 4, paragrafi 2 e 3, TUE, con l’articolo 267 TFUE, nonché con il principio del primato del diritto dell’Unione, deve essere interpretato nel senso che esso osta a una normativa o a una prassi nazionale, che implica che i giudici ordinari di uno Stato membro non sono competenti a esaminare la conformità al diritto dell’Unione di una normativa nazionale che la Corte costituzionale di tale Stato membro ha dichiarato conforme a una disposizione costituzionale nazionale, che impone il rispetto del principio del primato del diritto dell’Unione».</w:t>
      </w:r>
    </w:p>
  </w:footnote>
  <w:footnote w:id="15">
    <w:p w14:paraId="2FFF82A6" w14:textId="09F72218"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Questi articoli trovano omologhi negli artt. 136-160 </w:t>
      </w:r>
      <w:proofErr w:type="spellStart"/>
      <w:r w:rsidRPr="00464DEB">
        <w:rPr>
          <w:szCs w:val="18"/>
        </w:rPr>
        <w:t>Tr</w:t>
      </w:r>
      <w:proofErr w:type="spellEnd"/>
      <w:r w:rsidR="00F756EB">
        <w:rPr>
          <w:szCs w:val="18"/>
        </w:rPr>
        <w:t>.</w:t>
      </w:r>
      <w:r w:rsidRPr="00464DEB">
        <w:rPr>
          <w:szCs w:val="18"/>
        </w:rPr>
        <w:t xml:space="preserve"> CEEA.</w:t>
      </w:r>
    </w:p>
  </w:footnote>
  <w:footnote w:id="16">
    <w:p w14:paraId="085C5E9C" w14:textId="48C07EF1" w:rsidR="000E3D39" w:rsidRPr="00F80D4E" w:rsidRDefault="000E3D39" w:rsidP="00214E7A">
      <w:pPr>
        <w:pStyle w:val="Testonotaapidipagina"/>
        <w:rPr>
          <w:iCs/>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Protocollo (n. 3) sullo Statuto della Corte di giustizia dell’Unione europea, allegato ai trattati,</w:t>
      </w:r>
      <w:r>
        <w:rPr>
          <w:szCs w:val="18"/>
        </w:rPr>
        <w:t xml:space="preserve"> più volte modificato (da ultimo con il </w:t>
      </w:r>
      <w:r w:rsidRPr="00464DEB">
        <w:rPr>
          <w:szCs w:val="18"/>
        </w:rPr>
        <w:t xml:space="preserve">Regolamento (UE, </w:t>
      </w:r>
      <w:proofErr w:type="spellStart"/>
      <w:r w:rsidRPr="00464DEB">
        <w:rPr>
          <w:szCs w:val="18"/>
        </w:rPr>
        <w:t>Euratom</w:t>
      </w:r>
      <w:proofErr w:type="spellEnd"/>
      <w:r w:rsidRPr="00464DEB">
        <w:rPr>
          <w:szCs w:val="18"/>
        </w:rPr>
        <w:t xml:space="preserve">) 2024/2019 del Parlamento europeo e del Consiglio, dell’11 aprile 2024, che modifica il protocollo n. 3 sullo statuto della Corte di giustizia dell’Unione europea, in </w:t>
      </w:r>
      <w:r w:rsidRPr="00853B2F">
        <w:rPr>
          <w:i/>
          <w:iCs/>
          <w:szCs w:val="18"/>
        </w:rPr>
        <w:t xml:space="preserve">GUUE </w:t>
      </w:r>
      <w:r>
        <w:rPr>
          <w:szCs w:val="18"/>
        </w:rPr>
        <w:t xml:space="preserve">serie L </w:t>
      </w:r>
      <w:r>
        <w:rPr>
          <w:iCs/>
          <w:szCs w:val="18"/>
        </w:rPr>
        <w:t xml:space="preserve">del </w:t>
      </w:r>
      <w:r w:rsidRPr="00685073">
        <w:rPr>
          <w:iCs/>
          <w:szCs w:val="18"/>
        </w:rPr>
        <w:t>12 agosto 2024</w:t>
      </w:r>
      <w:r w:rsidRPr="00651730">
        <w:rPr>
          <w:iCs/>
          <w:szCs w:val="18"/>
        </w:rPr>
        <w:t>.</w:t>
      </w:r>
    </w:p>
  </w:footnote>
  <w:footnote w:id="17">
    <w:p w14:paraId="359B98A2" w14:textId="7C7CFD31"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napToGrid w:val="0"/>
          <w:szCs w:val="18"/>
          <w:u w:color="000000"/>
        </w:rPr>
        <w:t>V., i</w:t>
      </w:r>
      <w:r w:rsidRPr="00464DEB">
        <w:rPr>
          <w:szCs w:val="18"/>
        </w:rPr>
        <w:t>n tal senso, l’art. 51 TUE.</w:t>
      </w:r>
    </w:p>
  </w:footnote>
  <w:footnote w:id="18">
    <w:p w14:paraId="061EAF64" w14:textId="3EBD117D"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Il suo Titolo I riguarda lo statuto dei giudici e degli A.G.; i Titoli II e III concernono, rispettivamente, l’organizzazione e la procedura dinanzi alla Corte di giustizia; il IV è dedicato al Tribunale, il IV </w:t>
      </w:r>
      <w:r w:rsidRPr="00853B2F">
        <w:rPr>
          <w:i/>
          <w:szCs w:val="18"/>
        </w:rPr>
        <w:t>bis</w:t>
      </w:r>
      <w:r w:rsidRPr="00464DEB">
        <w:rPr>
          <w:szCs w:val="18"/>
        </w:rPr>
        <w:t xml:space="preserve"> alle camere giurisdizionali e il V alle disposizioni finali.</w:t>
      </w:r>
    </w:p>
  </w:footnote>
  <w:footnote w:id="19">
    <w:p w14:paraId="605E4DCA" w14:textId="579C1AAB"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Cfr. il secondo comma della disposizione in parola, che prevede che «Il Parlamento europeo e il Consiglio, deliberando secondo la procedura legislativa ordinaria, possono modificare le disposizioni dello statuto, ad eccezione del Titolo I e dell’art. 64. Il Parlamento europeo e il Consiglio deliberano su richiesta della Corte di giustizia e previa consultazione della Commissione o su proposta della Commissione previa consultazione della Corte di giustizia». Nella prassi, la prima procedura (iniziativa della Corte di giustizia) è quella che ha avuto concreta applicazione. </w:t>
      </w:r>
    </w:p>
  </w:footnote>
  <w:footnote w:id="20">
    <w:p w14:paraId="7C49C0D4" w14:textId="0624990A"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Si noti che in deroga a tale regola, la modifica del regime linguistico (v. </w:t>
      </w:r>
      <w:r w:rsidRPr="00853B2F">
        <w:rPr>
          <w:i/>
          <w:szCs w:val="18"/>
        </w:rPr>
        <w:t>infra</w:t>
      </w:r>
      <w:r w:rsidRPr="00464DEB">
        <w:rPr>
          <w:szCs w:val="18"/>
        </w:rPr>
        <w:t xml:space="preserve">, cap. 9 parte I) dettata dai regolamenti di procedura (artt. 36-42 </w:t>
      </w:r>
      <w:r w:rsidR="00466935">
        <w:rPr>
          <w:szCs w:val="18"/>
        </w:rPr>
        <w:t>reg. proc. Corte</w:t>
      </w:r>
      <w:r w:rsidRPr="00464DEB">
        <w:rPr>
          <w:szCs w:val="18"/>
        </w:rPr>
        <w:t xml:space="preserve">; artt. 44-49 </w:t>
      </w:r>
      <w:r w:rsidR="00466935">
        <w:rPr>
          <w:szCs w:val="18"/>
        </w:rPr>
        <w:t xml:space="preserve">reg. proc. </w:t>
      </w:r>
      <w:proofErr w:type="spellStart"/>
      <w:r w:rsidR="00466935">
        <w:rPr>
          <w:szCs w:val="18"/>
        </w:rPr>
        <w:t>Trib</w:t>
      </w:r>
      <w:proofErr w:type="spellEnd"/>
      <w:r w:rsidR="00466935">
        <w:rPr>
          <w:szCs w:val="18"/>
        </w:rPr>
        <w:t>.</w:t>
      </w:r>
      <w:r w:rsidRPr="00464DEB">
        <w:rPr>
          <w:szCs w:val="18"/>
        </w:rPr>
        <w:t xml:space="preserve">) richiede l’approvazione all’unanimità da parte del Consiglio, ovvero impone lo stesso procedimento di revisione previsto per le modifiche dello Statuto (cfr. art. 64 Statuto). La </w:t>
      </w:r>
      <w:r w:rsidRPr="00853B2F">
        <w:rPr>
          <w:i/>
          <w:szCs w:val="18"/>
        </w:rPr>
        <w:t>ratio</w:t>
      </w:r>
      <w:r w:rsidRPr="00464DEB">
        <w:rPr>
          <w:szCs w:val="18"/>
        </w:rPr>
        <w:t xml:space="preserve"> di tale deroga è chiara, volendosi garantire la parità delle diverse lingue nel sistema processuale dell’Unione. Poiché ogni Stato membro ha una propria lingua e un sistema giuridico specifico, la Corte di giustizia dell’Unione europea è sin dal</w:t>
      </w:r>
      <w:r>
        <w:rPr>
          <w:szCs w:val="18"/>
        </w:rPr>
        <w:softHyphen/>
      </w:r>
      <w:r w:rsidRPr="00464DEB">
        <w:rPr>
          <w:szCs w:val="18"/>
        </w:rPr>
        <w:t>l’inizio un’istituzione plurilingue, nel senso che ciascuna delle lingue ufficiali dell’Unione europea può essere lingua processuale. Ciò permette alla Corte di poter comunicare con le parti nella lingua processuale e garantisce una più agevole diffusione della sua giurisprudenza in tutti gli Stati membri.</w:t>
      </w:r>
    </w:p>
  </w:footnote>
  <w:footnote w:id="21">
    <w:p w14:paraId="7E20AF2B" w14:textId="7F33E6D8"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bookmarkStart w:id="3" w:name="_Hlk176348107"/>
      <w:r w:rsidRPr="00464DEB">
        <w:rPr>
          <w:snapToGrid w:val="0"/>
          <w:szCs w:val="18"/>
          <w:u w:color="000000"/>
        </w:rPr>
        <w:t xml:space="preserve">Regolamento di procedura della Corte di giustizia, del 25 settembre 2012 (in </w:t>
      </w:r>
      <w:r w:rsidRPr="00853B2F">
        <w:rPr>
          <w:i/>
          <w:iCs/>
          <w:snapToGrid w:val="0"/>
          <w:szCs w:val="18"/>
          <w:u w:color="000000"/>
        </w:rPr>
        <w:t>GUUE</w:t>
      </w:r>
      <w:r w:rsidRPr="00464DEB">
        <w:rPr>
          <w:snapToGrid w:val="0"/>
          <w:szCs w:val="18"/>
          <w:u w:color="000000"/>
        </w:rPr>
        <w:t xml:space="preserve"> del 29 settembre 2012, n. L 265), più volte modificato, da ultimo con il Regolamento 2024/2094, pubblicato il 12 agosto 2024 e con effetti dal primo settembre 2024 (in </w:t>
      </w:r>
      <w:r w:rsidRPr="00853B2F">
        <w:rPr>
          <w:i/>
          <w:snapToGrid w:val="0"/>
          <w:szCs w:val="18"/>
          <w:u w:color="000000"/>
        </w:rPr>
        <w:t xml:space="preserve">GUUE </w:t>
      </w:r>
      <w:r>
        <w:rPr>
          <w:iCs/>
          <w:snapToGrid w:val="0"/>
          <w:szCs w:val="18"/>
          <w:u w:color="000000"/>
        </w:rPr>
        <w:t xml:space="preserve">serie L </w:t>
      </w:r>
      <w:r w:rsidRPr="00464DEB">
        <w:rPr>
          <w:iCs/>
          <w:snapToGrid w:val="0"/>
          <w:szCs w:val="18"/>
          <w:u w:color="000000"/>
        </w:rPr>
        <w:t>del 12 agosto 2024</w:t>
      </w:r>
      <w:r w:rsidRPr="00464DEB">
        <w:rPr>
          <w:snapToGrid w:val="0"/>
          <w:szCs w:val="18"/>
          <w:u w:color="000000"/>
        </w:rPr>
        <w:t>).</w:t>
      </w:r>
      <w:bookmarkEnd w:id="3"/>
    </w:p>
  </w:footnote>
  <w:footnote w:id="22">
    <w:p w14:paraId="39459987" w14:textId="68ECF760"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bookmarkStart w:id="4" w:name="_Hlk176348698"/>
      <w:r w:rsidRPr="00464DEB">
        <w:rPr>
          <w:snapToGrid w:val="0"/>
          <w:szCs w:val="18"/>
          <w:u w:color="000000"/>
        </w:rPr>
        <w:t xml:space="preserve">Regolamento di procedura del Tribunale del 4 marzo 2015, in </w:t>
      </w:r>
      <w:r w:rsidRPr="00853B2F">
        <w:rPr>
          <w:i/>
          <w:iCs/>
          <w:snapToGrid w:val="0"/>
          <w:szCs w:val="18"/>
          <w:u w:color="000000"/>
        </w:rPr>
        <w:t>GUUE</w:t>
      </w:r>
      <w:r w:rsidRPr="00464DEB">
        <w:rPr>
          <w:snapToGrid w:val="0"/>
          <w:szCs w:val="18"/>
          <w:u w:color="000000"/>
        </w:rPr>
        <w:t xml:space="preserve"> del 23 aprile 2015, n. L 105, p. 1, più volte modificato, da ultimo </w:t>
      </w:r>
      <w:r w:rsidRPr="00464DEB">
        <w:rPr>
          <w:szCs w:val="18"/>
        </w:rPr>
        <w:t xml:space="preserve">con l’adozione del Regolamento 2024/2095, pubblicato in </w:t>
      </w:r>
      <w:r w:rsidRPr="00853B2F">
        <w:rPr>
          <w:i/>
          <w:szCs w:val="18"/>
        </w:rPr>
        <w:t>GUUE</w:t>
      </w:r>
      <w:r w:rsidRPr="00464DEB">
        <w:rPr>
          <w:szCs w:val="18"/>
        </w:rPr>
        <w:t xml:space="preserve"> </w:t>
      </w:r>
      <w:r>
        <w:rPr>
          <w:szCs w:val="18"/>
        </w:rPr>
        <w:t xml:space="preserve">serie L </w:t>
      </w:r>
      <w:r w:rsidRPr="00464DEB">
        <w:rPr>
          <w:szCs w:val="18"/>
        </w:rPr>
        <w:t>del 12 agosto 2024, e con effetti dal primo settembre 2024</w:t>
      </w:r>
      <w:r w:rsidRPr="00464DEB">
        <w:rPr>
          <w:iCs/>
          <w:szCs w:val="18"/>
        </w:rPr>
        <w:t>.</w:t>
      </w:r>
      <w:bookmarkEnd w:id="4"/>
    </w:p>
  </w:footnote>
  <w:footnote w:id="23">
    <w:p w14:paraId="2A54E39B" w14:textId="7220B80E"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napToGrid w:val="0"/>
          <w:szCs w:val="18"/>
          <w:u w:color="000000"/>
        </w:rPr>
        <w:t xml:space="preserve">L’unico tribunale specializzato sinora istituito, il Tribunale della funzione pubblica, ha cessato di operare il 1° settembre 2016 (v. </w:t>
      </w:r>
      <w:r w:rsidRPr="00853B2F">
        <w:rPr>
          <w:i/>
          <w:iCs/>
          <w:snapToGrid w:val="0"/>
          <w:szCs w:val="18"/>
          <w:u w:color="000000"/>
        </w:rPr>
        <w:t>infra</w:t>
      </w:r>
      <w:r w:rsidRPr="00464DEB">
        <w:rPr>
          <w:snapToGrid w:val="0"/>
          <w:szCs w:val="18"/>
          <w:u w:color="000000"/>
        </w:rPr>
        <w:t xml:space="preserve">). Il suo </w:t>
      </w:r>
      <w:r w:rsidRPr="00464DEB">
        <w:rPr>
          <w:szCs w:val="18"/>
        </w:rPr>
        <w:t xml:space="preserve">regolamento di procedura fu adottato il 25 luglio 2007, in </w:t>
      </w:r>
      <w:r w:rsidRPr="00853B2F">
        <w:rPr>
          <w:i/>
          <w:szCs w:val="18"/>
        </w:rPr>
        <w:t>GUUE</w:t>
      </w:r>
      <w:r w:rsidRPr="00464DEB">
        <w:rPr>
          <w:szCs w:val="18"/>
        </w:rPr>
        <w:t xml:space="preserve"> del 29 agosto 2007, n. L 225, p. 1 e a norma del suo art. 121, è entrato in vigore il primo giorno del terzo mese successivo alla sua pubblicazione, ovvero il 1° novembre 2007.</w:t>
      </w:r>
    </w:p>
  </w:footnote>
  <w:footnote w:id="24">
    <w:p w14:paraId="644E9BCA" w14:textId="351540C5" w:rsidR="000E3D39" w:rsidRPr="00464DEB" w:rsidRDefault="000E3D39" w:rsidP="00214E7A">
      <w:pPr>
        <w:pStyle w:val="Testonotaapidipagina"/>
        <w:rPr>
          <w:szCs w:val="18"/>
        </w:rPr>
      </w:pPr>
      <w:r w:rsidRPr="00557599">
        <w:rPr>
          <w:rStyle w:val="Rimandonotaapidipagina"/>
          <w:snapToGrid w:val="0"/>
          <w:szCs w:val="18"/>
          <w:u w:color="000000"/>
        </w:rPr>
        <w:footnoteRef/>
      </w:r>
      <w:r>
        <w:rPr>
          <w:szCs w:val="18"/>
          <w:vertAlign w:val="superscript"/>
        </w:rPr>
        <w:t> </w:t>
      </w:r>
      <w:r w:rsidRPr="00464DEB">
        <w:rPr>
          <w:szCs w:val="18"/>
        </w:rPr>
        <w:t xml:space="preserve">In </w:t>
      </w:r>
      <w:r w:rsidRPr="00853B2F">
        <w:rPr>
          <w:i/>
          <w:szCs w:val="18"/>
        </w:rPr>
        <w:t>GUUE</w:t>
      </w:r>
      <w:r w:rsidRPr="00464DEB">
        <w:rPr>
          <w:szCs w:val="18"/>
        </w:rPr>
        <w:t xml:space="preserve"> del 1° febbraio 2014, n. L 32, p. 37.</w:t>
      </w:r>
    </w:p>
  </w:footnote>
  <w:footnote w:id="25">
    <w:p w14:paraId="1CDA6731" w14:textId="6242222D"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L’art. 208 del regolamento di procedura della Corte, rubricato “Norme di esecuzione”, legittima l’istituzione «ad adottare, con atto separato, norme pratiche di esecuzione del presente regolamento». Di tenore identico l’art. 224 reg. proc. </w:t>
      </w:r>
      <w:proofErr w:type="spellStart"/>
      <w:r w:rsidRPr="00464DEB">
        <w:rPr>
          <w:szCs w:val="18"/>
        </w:rPr>
        <w:t>Trib</w:t>
      </w:r>
      <w:proofErr w:type="spellEnd"/>
      <w:r w:rsidRPr="00464DEB">
        <w:rPr>
          <w:szCs w:val="18"/>
        </w:rPr>
        <w:t>., secondo il quale il Tribunale «adotta, con atto separato, norme pratiche di esecuzione del presente regolamento».</w:t>
      </w:r>
    </w:p>
  </w:footnote>
  <w:footnote w:id="26">
    <w:p w14:paraId="77F129D8" w14:textId="316FA59C" w:rsidR="000E3D39" w:rsidRPr="00464DEB" w:rsidRDefault="000E3D39" w:rsidP="00707972">
      <w:pPr>
        <w:pStyle w:val="Testonotaapidipagina"/>
        <w:rPr>
          <w:szCs w:val="18"/>
        </w:rPr>
      </w:pPr>
      <w:r w:rsidRPr="0030581D">
        <w:rPr>
          <w:rStyle w:val="Rimandonotaapidipagina"/>
          <w:spacing w:val="3"/>
          <w:szCs w:val="18"/>
        </w:rPr>
        <w:footnoteRef/>
      </w:r>
      <w:r w:rsidRPr="0030581D">
        <w:rPr>
          <w:spacing w:val="3"/>
          <w:szCs w:val="18"/>
          <w:vertAlign w:val="superscript"/>
        </w:rPr>
        <w:t> </w:t>
      </w:r>
      <w:r w:rsidRPr="0030581D">
        <w:rPr>
          <w:spacing w:val="3"/>
          <w:szCs w:val="18"/>
        </w:rPr>
        <w:t xml:space="preserve">La versione vigente di tali Istruzioni si rinviene in </w:t>
      </w:r>
      <w:r w:rsidRPr="0030581D">
        <w:rPr>
          <w:i/>
          <w:iCs/>
          <w:spacing w:val="3"/>
          <w:szCs w:val="18"/>
        </w:rPr>
        <w:t>GUUE</w:t>
      </w:r>
      <w:r w:rsidRPr="0030581D">
        <w:rPr>
          <w:spacing w:val="3"/>
          <w:szCs w:val="18"/>
        </w:rPr>
        <w:t xml:space="preserve"> del 14 febbraio 2020, n. L 42, p. 1</w:t>
      </w:r>
      <w:r w:rsidRPr="00464DEB">
        <w:rPr>
          <w:szCs w:val="18"/>
        </w:rPr>
        <w:t>.</w:t>
      </w:r>
    </w:p>
  </w:footnote>
  <w:footnote w:id="27">
    <w:p w14:paraId="30B1FDFB" w14:textId="75E605CC"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Adottate dal Tribunale il 20 maggio 2015 (in </w:t>
      </w:r>
      <w:r w:rsidRPr="00853B2F">
        <w:rPr>
          <w:i/>
          <w:iCs/>
          <w:szCs w:val="18"/>
        </w:rPr>
        <w:t>GUUE</w:t>
      </w:r>
      <w:r w:rsidRPr="00464DEB">
        <w:rPr>
          <w:szCs w:val="18"/>
        </w:rPr>
        <w:t xml:space="preserve"> del 18 giugno 2015, n. L 152, p. 1), tali norme sono state successivamente modificate, da ultimo il 1° luglio 2024 (in </w:t>
      </w:r>
      <w:r w:rsidRPr="00853B2F">
        <w:rPr>
          <w:i/>
          <w:szCs w:val="18"/>
        </w:rPr>
        <w:t>GUUE</w:t>
      </w:r>
      <w:r w:rsidRPr="00464DEB">
        <w:rPr>
          <w:iCs/>
          <w:szCs w:val="18"/>
        </w:rPr>
        <w:t xml:space="preserve"> </w:t>
      </w:r>
      <w:r>
        <w:rPr>
          <w:iCs/>
          <w:szCs w:val="18"/>
        </w:rPr>
        <w:t xml:space="preserve">serie L </w:t>
      </w:r>
      <w:r w:rsidRPr="00464DEB">
        <w:rPr>
          <w:iCs/>
          <w:szCs w:val="18"/>
        </w:rPr>
        <w:t>del 12 agosto 2024</w:t>
      </w:r>
      <w:r>
        <w:rPr>
          <w:iCs/>
          <w:szCs w:val="18"/>
        </w:rPr>
        <w:t>).</w:t>
      </w:r>
    </w:p>
  </w:footnote>
  <w:footnote w:id="28">
    <w:p w14:paraId="40D84DC6" w14:textId="5823940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853B2F">
        <w:rPr>
          <w:i/>
          <w:iCs/>
          <w:szCs w:val="18"/>
        </w:rPr>
        <w:t>Istruzioni</w:t>
      </w:r>
      <w:r w:rsidRPr="00464DEB">
        <w:rPr>
          <w:szCs w:val="18"/>
        </w:rPr>
        <w:t>, considerando n. 6.</w:t>
      </w:r>
    </w:p>
  </w:footnote>
  <w:footnote w:id="29">
    <w:p w14:paraId="36BB473C" w14:textId="6F453943"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Pr>
          <w:szCs w:val="18"/>
        </w:rPr>
        <w:t>I</w:t>
      </w:r>
      <w:r w:rsidRPr="00464DEB">
        <w:rPr>
          <w:szCs w:val="18"/>
        </w:rPr>
        <w:t xml:space="preserve">n </w:t>
      </w:r>
      <w:r w:rsidRPr="00853B2F">
        <w:rPr>
          <w:i/>
          <w:szCs w:val="18"/>
        </w:rPr>
        <w:t>GUUE</w:t>
      </w:r>
      <w:r w:rsidRPr="00464DEB">
        <w:rPr>
          <w:szCs w:val="18"/>
        </w:rPr>
        <w:t xml:space="preserve"> </w:t>
      </w:r>
      <w:r>
        <w:rPr>
          <w:szCs w:val="18"/>
        </w:rPr>
        <w:t xml:space="preserve">serie C </w:t>
      </w:r>
      <w:r w:rsidRPr="00464DEB">
        <w:rPr>
          <w:szCs w:val="18"/>
        </w:rPr>
        <w:t>del</w:t>
      </w:r>
      <w:r>
        <w:rPr>
          <w:szCs w:val="18"/>
        </w:rPr>
        <w:t xml:space="preserve"> 9 ottobre 2024</w:t>
      </w:r>
      <w:r w:rsidRPr="00464DEB">
        <w:rPr>
          <w:szCs w:val="18"/>
        </w:rPr>
        <w:t>.</w:t>
      </w:r>
    </w:p>
  </w:footnote>
  <w:footnote w:id="30">
    <w:p w14:paraId="1211BB96" w14:textId="36609BAB"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Quanto al Tribunale, vengono in rilievo </w:t>
      </w:r>
      <w:r w:rsidRPr="00853B2F">
        <w:rPr>
          <w:i/>
          <w:iCs/>
          <w:szCs w:val="18"/>
        </w:rPr>
        <w:t>inter alia</w:t>
      </w:r>
      <w:r w:rsidRPr="00464DEB">
        <w:rPr>
          <w:szCs w:val="18"/>
        </w:rPr>
        <w:t xml:space="preserve"> la Decisione (UE) 2016/2387 del Tribunale, del 14 settembre 2016 relativa alle norme di sicurezza applicabili alle informazioni o agli atti prodotti ai sensi dell’art. 105, par. 1 o par. 2, </w:t>
      </w:r>
      <w:r w:rsidR="00D313CF">
        <w:rPr>
          <w:szCs w:val="18"/>
        </w:rPr>
        <w:t xml:space="preserve">reg. proc. </w:t>
      </w:r>
      <w:proofErr w:type="spellStart"/>
      <w:r w:rsidR="00D313CF">
        <w:rPr>
          <w:szCs w:val="18"/>
        </w:rPr>
        <w:t>Trib</w:t>
      </w:r>
      <w:proofErr w:type="spellEnd"/>
      <w:r w:rsidR="00D313CF">
        <w:rPr>
          <w:szCs w:val="18"/>
        </w:rPr>
        <w:t>.</w:t>
      </w:r>
      <w:r w:rsidRPr="00464DEB">
        <w:rPr>
          <w:szCs w:val="18"/>
        </w:rPr>
        <w:t xml:space="preserve">, e la Decisione del Tribunale, </w:t>
      </w:r>
      <w:r>
        <w:rPr>
          <w:szCs w:val="18"/>
        </w:rPr>
        <w:t xml:space="preserve">n. </w:t>
      </w:r>
      <w:r w:rsidRPr="000101D8">
        <w:rPr>
          <w:szCs w:val="18"/>
        </w:rPr>
        <w:t>2024/2096 del 10 luglio 2024</w:t>
      </w:r>
      <w:r>
        <w:rPr>
          <w:szCs w:val="18"/>
        </w:rPr>
        <w:t>,</w:t>
      </w:r>
      <w:r w:rsidRPr="000101D8">
        <w:rPr>
          <w:szCs w:val="18"/>
        </w:rPr>
        <w:t xml:space="preserve"> relativa al deposito e alla notifica di atti processuali mediante l’applicazione e-Curia</w:t>
      </w:r>
      <w:r w:rsidRPr="00464DEB">
        <w:rPr>
          <w:szCs w:val="18"/>
        </w:rPr>
        <w:t>, rinvenibili sul sito web della CGUE.</w:t>
      </w:r>
    </w:p>
  </w:footnote>
  <w:footnote w:id="31">
    <w:p w14:paraId="6BD587EB" w14:textId="607D332C"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Art. 13, par. 2, TUE: «Ciascuna istituzione agisce nei limiti delle attribuzioni che le sono conferite dai trattati, secondo le procedure, condizioni e finalità da essi previste».</w:t>
      </w:r>
    </w:p>
  </w:footnote>
  <w:footnote w:id="32">
    <w:p w14:paraId="7C5F0B76" w14:textId="20DC42F2"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Art. 257, primo comma, TFUE.</w:t>
      </w:r>
    </w:p>
  </w:footnote>
  <w:footnote w:id="33">
    <w:p w14:paraId="01AF3EB6" w14:textId="1183F298" w:rsidR="000E3D39" w:rsidRPr="00464DEB" w:rsidRDefault="000E3D39" w:rsidP="00707972">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Cfr. Decisione del Consiglio del 26 aprile 2004, n. 2004/407/CE, </w:t>
      </w:r>
      <w:proofErr w:type="spellStart"/>
      <w:r w:rsidRPr="00464DEB">
        <w:rPr>
          <w:szCs w:val="18"/>
        </w:rPr>
        <w:t>Euratom</w:t>
      </w:r>
      <w:proofErr w:type="spellEnd"/>
      <w:r w:rsidRPr="00464DEB">
        <w:rPr>
          <w:szCs w:val="18"/>
        </w:rPr>
        <w:t xml:space="preserve">, che modifica gli artt. 51 e 54 del protocollo sullo Statuto, in </w:t>
      </w:r>
      <w:r w:rsidRPr="00853B2F">
        <w:rPr>
          <w:i/>
          <w:szCs w:val="18"/>
        </w:rPr>
        <w:t>GUUE</w:t>
      </w:r>
      <w:r w:rsidRPr="00464DEB">
        <w:rPr>
          <w:szCs w:val="18"/>
        </w:rPr>
        <w:t xml:space="preserve"> del 29 aprile 2004, n. L 132, p. 5.</w:t>
      </w:r>
    </w:p>
  </w:footnote>
  <w:footnote w:id="34">
    <w:p w14:paraId="39F040AA" w14:textId="17353CBB"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Il controllo sul comportamento degli Stati membri rispetto agli obblighi risultanti dai Trattati è tuttora riservato alla Corte di giustizia (ricorsi per inadempimento </w:t>
      </w:r>
      <w:r w:rsidRPr="00853B2F">
        <w:rPr>
          <w:i/>
          <w:iCs/>
          <w:szCs w:val="18"/>
        </w:rPr>
        <w:t>ex</w:t>
      </w:r>
      <w:r w:rsidRPr="00464DEB">
        <w:rPr>
          <w:szCs w:val="18"/>
        </w:rPr>
        <w:t xml:space="preserve"> artt. 258-260 TFUE). V. </w:t>
      </w:r>
      <w:r w:rsidRPr="00853B2F">
        <w:rPr>
          <w:i/>
          <w:iCs/>
          <w:szCs w:val="18"/>
        </w:rPr>
        <w:t>infra</w:t>
      </w:r>
      <w:r w:rsidRPr="00464DEB">
        <w:rPr>
          <w:szCs w:val="18"/>
        </w:rPr>
        <w:t>, cap. 5.</w:t>
      </w:r>
    </w:p>
  </w:footnote>
  <w:footnote w:id="35">
    <w:p w14:paraId="5CC9C0F3" w14:textId="518F3B1F"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La denominazione del Tribunale in altre lingue dell’Unione valorizza meglio questo ruolo: in inglese, ad esempio, il Tribunale è denominato “General Court”.</w:t>
      </w:r>
    </w:p>
  </w:footnote>
  <w:footnote w:id="36">
    <w:p w14:paraId="467EB958" w14:textId="151009D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A questa natura può essere inoltre ricondotta la competenza esclusiva della Corte ad esprimere i pareri, contemplati dall’art. 218, par. 11, in tema di compatibilità di un accordo internazionale di cui è prevista la conclusione da parte dell’Unione con i trattati.</w:t>
      </w:r>
    </w:p>
  </w:footnote>
  <w:footnote w:id="37">
    <w:p w14:paraId="410BB78E" w14:textId="5E681589"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Regolamento del Parlamento europeo e del Consiglio n. 2024/2019 che modifica il Protocollo n. 3 sullo Statuto della Corte di giustizia dell’Unione europea, cit.</w:t>
      </w:r>
    </w:p>
  </w:footnote>
  <w:footnote w:id="38">
    <w:p w14:paraId="4510D5FA" w14:textId="28108397"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V. in particolare il Rapporto presentato dalla Corte il 14 dicembre 2017 in applicazione del</w:t>
      </w:r>
      <w:r>
        <w:rPr>
          <w:szCs w:val="18"/>
        </w:rPr>
        <w:softHyphen/>
      </w:r>
      <w:r w:rsidRPr="00464DEB">
        <w:rPr>
          <w:szCs w:val="18"/>
        </w:rPr>
        <w:t xml:space="preserve">l’art. 3, par. 2, del Regolamento 2015/2422 del Parlamento europeo e del Consiglio, in </w:t>
      </w:r>
      <w:r w:rsidR="0030581D" w:rsidRPr="0030581D">
        <w:rPr>
          <w:i/>
          <w:szCs w:val="18"/>
        </w:rPr>
        <w:t>www</w:t>
      </w:r>
      <w:r w:rsidR="0030581D" w:rsidRPr="0030581D">
        <w:rPr>
          <w:szCs w:val="18"/>
        </w:rPr>
        <w:t>.</w:t>
      </w:r>
      <w:r w:rsidR="00A32F64">
        <w:rPr>
          <w:szCs w:val="18"/>
        </w:rPr>
        <w:br/>
      </w:r>
      <w:r w:rsidR="0030581D" w:rsidRPr="0030581D">
        <w:rPr>
          <w:i/>
          <w:iCs/>
          <w:szCs w:val="18"/>
        </w:rPr>
        <w:t>cu</w:t>
      </w:r>
      <w:r w:rsidRPr="00853B2F">
        <w:rPr>
          <w:i/>
          <w:iCs/>
          <w:szCs w:val="18"/>
        </w:rPr>
        <w:t>ria.europa.eu</w:t>
      </w:r>
      <w:r w:rsidRPr="00464DEB">
        <w:rPr>
          <w:szCs w:val="18"/>
        </w:rPr>
        <w:t>.</w:t>
      </w:r>
    </w:p>
  </w:footnote>
  <w:footnote w:id="39">
    <w:p w14:paraId="18EAEF91" w14:textId="5AA519F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Domanda presentata dalla Corte di giustizia, ai sensi dell’art. 281, secondo comma, </w:t>
      </w:r>
      <w:r w:rsidR="00D313CF">
        <w:rPr>
          <w:szCs w:val="18"/>
        </w:rPr>
        <w:t>TFUE</w:t>
      </w:r>
      <w:r w:rsidRPr="00464DEB">
        <w:rPr>
          <w:szCs w:val="18"/>
        </w:rPr>
        <w:t xml:space="preserve">, al fine di modificare il Protocollo n. 3 Statuto, in </w:t>
      </w:r>
      <w:r w:rsidRPr="00685073">
        <w:rPr>
          <w:i/>
          <w:szCs w:val="18"/>
        </w:rPr>
        <w:t>www.</w:t>
      </w:r>
      <w:r w:rsidRPr="00853B2F">
        <w:rPr>
          <w:i/>
          <w:iCs/>
          <w:szCs w:val="18"/>
        </w:rPr>
        <w:t>curia.europa.eu</w:t>
      </w:r>
      <w:r w:rsidRPr="00464DEB">
        <w:rPr>
          <w:szCs w:val="18"/>
        </w:rPr>
        <w:t>.</w:t>
      </w:r>
    </w:p>
  </w:footnote>
  <w:footnote w:id="40">
    <w:p w14:paraId="2179493C" w14:textId="0ABAF4E5"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Considerando </w:t>
      </w:r>
      <w:proofErr w:type="spellStart"/>
      <w:r w:rsidRPr="00464DEB">
        <w:rPr>
          <w:szCs w:val="18"/>
        </w:rPr>
        <w:t>nn</w:t>
      </w:r>
      <w:proofErr w:type="spellEnd"/>
      <w:r w:rsidRPr="00464DEB">
        <w:rPr>
          <w:szCs w:val="18"/>
        </w:rPr>
        <w:t>. 6 e 7 del regolamento di revisione dello Statuto.</w:t>
      </w:r>
    </w:p>
  </w:footnote>
  <w:footnote w:id="41">
    <w:p w14:paraId="357D4734" w14:textId="493B6DAA"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La Corte giustifica questo apparente paradosso con l’esigenza di evitare i rischi di interpretazioni divergenti tra Corte e Tribunale nella medesima materia (ad es. nel diritto della concorrenza, per il quale il Tribunale, dotato di competenza soltanto di primo grado nei ricorsi diretti, si vedrebbe attribuita una competenza pregiudiziale di fatto esclusiva). Pur ammettendo che questo rischio davvero esista, lo stesso è quantomeno ridotto nelle materie (come ad es. il diritto della proprietà intellettuale) per le quali il Tribunale decide in primo ed unico grado, salvo il procedimento eccezionale di riesame affidato alla Corte (cfr. art. 58 </w:t>
      </w:r>
      <w:r w:rsidRPr="00853B2F">
        <w:rPr>
          <w:i/>
          <w:iCs/>
          <w:szCs w:val="18"/>
        </w:rPr>
        <w:t>bis</w:t>
      </w:r>
      <w:r w:rsidRPr="00464DEB">
        <w:rPr>
          <w:szCs w:val="18"/>
        </w:rPr>
        <w:t xml:space="preserve"> Statuto) di cui si tratterà nel prosieguo.</w:t>
      </w:r>
    </w:p>
  </w:footnote>
  <w:footnote w:id="42">
    <w:p w14:paraId="7A74B3DF" w14:textId="184470CE"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La valutazione sarà svolta secondo le regole procedurali indicate già nel Preambolo del Regolamento di modifica (e poi meglio precisate dal Regolamento della Corte), vale a dire su decisione assunta dal Presidente della Corte, sentito il vice-presidente ed il primo A.G., oppure, nei casi più complessi, in sede di riunione generale dei giudici e degli A.G. (cfr. Considerando n. 14 del Regolamento di modifica dello Statuto).</w:t>
      </w:r>
    </w:p>
  </w:footnote>
  <w:footnote w:id="43">
    <w:p w14:paraId="5E04EEA0" w14:textId="608B9F5A"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In realtà, una interpretazione alternativa e a nostro parere più fedele al Trattato avrebbe potuto portare ad una soluzione diversa, cioè a ritenere che, una volta fissate le materie specifiche nello Statuto, spettasse al giudice nazionale interpretarla ed applicarla inviando le domande pregiudiziali alla giurisdizione (Corte o Tribunale) che appare competente </w:t>
      </w:r>
      <w:r w:rsidRPr="00853B2F">
        <w:rPr>
          <w:i/>
          <w:szCs w:val="18"/>
        </w:rPr>
        <w:t>ratione materiae</w:t>
      </w:r>
      <w:r w:rsidRPr="00464DEB">
        <w:rPr>
          <w:szCs w:val="18"/>
        </w:rPr>
        <w:t>. Al rischio (forse sopravvalutato e comunque superabile con il consolidarsi della prassi di applicazione delle nuove regole) di difficoltà di scelta si sarebbe facilmente potuto ovviare limitandosi a modificare soltanto l’art. 54, secondo comma, Statuto nel senso di consentire, come già avviene per i ricorsi diretti, al Tribunale ed alla Corte di rimettere le domande pregiudiziali all’altro giudice qualora ritengano che esse rientrino nelle competenze di quest’ultimo, con l’attribuzione alla Corte dell’ultima parola in caso di divergenza di opinioni. Peraltro, si tratta di una modifica che è stata comunque disposta, nel contesto della procedura legislativa di modifica dello Statuto, su richiesta del Parlamento europeo (cfr. art. 1, n. 5 del Regolamento n. 2024/2019). Il risultato di queste complicazioni procedurali è, evidentemente, l’allungamento dei tempi di risposta al giudice nazionale.</w:t>
      </w:r>
    </w:p>
  </w:footnote>
  <w:footnote w:id="44">
    <w:p w14:paraId="2C76CBC4" w14:textId="4678AFA3" w:rsidR="000E3D39" w:rsidRPr="0030581D" w:rsidRDefault="000E3D39" w:rsidP="00707972">
      <w:pPr>
        <w:pStyle w:val="Testonotaapidipagina"/>
        <w:rPr>
          <w:spacing w:val="2"/>
          <w:szCs w:val="18"/>
        </w:rPr>
      </w:pPr>
      <w:r w:rsidRPr="00557599">
        <w:rPr>
          <w:rStyle w:val="Rimandonotaapidipagina"/>
          <w:szCs w:val="18"/>
        </w:rPr>
        <w:footnoteRef/>
      </w:r>
      <w:r>
        <w:rPr>
          <w:szCs w:val="18"/>
          <w:vertAlign w:val="superscript"/>
        </w:rPr>
        <w:t> </w:t>
      </w:r>
      <w:r w:rsidRPr="0030581D">
        <w:rPr>
          <w:spacing w:val="2"/>
          <w:szCs w:val="18"/>
        </w:rPr>
        <w:t xml:space="preserve">Cfr. il nuovo art. 50 </w:t>
      </w:r>
      <w:r w:rsidRPr="0030581D">
        <w:rPr>
          <w:i/>
          <w:iCs/>
          <w:spacing w:val="2"/>
          <w:szCs w:val="18"/>
        </w:rPr>
        <w:t>ter</w:t>
      </w:r>
      <w:r w:rsidRPr="0030581D">
        <w:rPr>
          <w:spacing w:val="2"/>
          <w:szCs w:val="18"/>
        </w:rPr>
        <w:t>, secondo comma, Statuto: «In deroga al primo comma, la Corte di giustizia conserva la competenza a conoscere di domande di pronuncia pregiudiziale che sollevano questioni indipendenti di interpretazione del diritto primario, del diritto internazionale pubblico, dei principi generali del diritto o della Carta dei diritti fondamentali dell’Unione europea».</w:t>
      </w:r>
    </w:p>
  </w:footnote>
  <w:footnote w:id="45">
    <w:p w14:paraId="7CAD07EC" w14:textId="7B20EC6F"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Non è chiarissimo cosa si intenda per “questioni indipendenti”, ma si può presumere che si tratti di questioni interpretative che il giudice nazionale pone in maniera disgiunta ed autonoma rispetto all’interpretazione di una regola di diritto secondario dell’Unione che rientra nell’ambito delle materie oggetto di trasferimento. Un esempio potrebbe essere la presenza tra i quesiti pregiudiziali di una richiesta “secca” di interpretazione dell’art. 41 </w:t>
      </w:r>
      <w:r>
        <w:t>CDFUE</w:t>
      </w:r>
      <w:r w:rsidRPr="00464DEB" w:rsidDel="00D074B7">
        <w:rPr>
          <w:szCs w:val="18"/>
        </w:rPr>
        <w:t xml:space="preserve"> </w:t>
      </w:r>
      <w:r w:rsidRPr="00464DEB">
        <w:rPr>
          <w:szCs w:val="18"/>
        </w:rPr>
        <w:t xml:space="preserve">(diritto ad una buona amministrazione). Diverso sarebbe invece il caso di una richiesta di interpretazione di una disposizione di un atto derivato rientrante nelle materie trasferite, letta “alla luce” di un principio generale o di una norma della </w:t>
      </w:r>
      <w:r>
        <w:t>CDFUE</w:t>
      </w:r>
      <w:r w:rsidRPr="00464DEB">
        <w:rPr>
          <w:szCs w:val="18"/>
        </w:rPr>
        <w:t xml:space="preserve">. </w:t>
      </w:r>
    </w:p>
  </w:footnote>
  <w:footnote w:id="46">
    <w:p w14:paraId="7CB10B05" w14:textId="3CC31BEB"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Più esplicito era, in tal senso, il disposto del corrispondente art. 31</w:t>
      </w:r>
      <w:r w:rsidR="008D58B7">
        <w:rPr>
          <w:szCs w:val="18"/>
        </w:rPr>
        <w:t xml:space="preserve"> </w:t>
      </w:r>
      <w:proofErr w:type="spellStart"/>
      <w:r w:rsidR="008D58B7">
        <w:rPr>
          <w:szCs w:val="18"/>
        </w:rPr>
        <w:t>Tr</w:t>
      </w:r>
      <w:proofErr w:type="spellEnd"/>
      <w:r w:rsidR="008D58B7">
        <w:rPr>
          <w:szCs w:val="18"/>
        </w:rPr>
        <w:t>.</w:t>
      </w:r>
      <w:r w:rsidRPr="00464DEB">
        <w:rPr>
          <w:szCs w:val="18"/>
        </w:rPr>
        <w:t xml:space="preserve"> CECA, che imponeva alla Corte nell’esercizio della sua funzione di assicurare il rispetto del diritto nell’interpretazione e nell’applicazione del trattato «e dei regolamenti di esecuzione».</w:t>
      </w:r>
    </w:p>
  </w:footnote>
  <w:footnote w:id="47">
    <w:p w14:paraId="33A632D1" w14:textId="2A5A5517" w:rsidR="000E3D39" w:rsidRPr="00A32F64" w:rsidRDefault="000E3D39" w:rsidP="00214E7A">
      <w:pPr>
        <w:pStyle w:val="Testonotaapidipagina"/>
        <w:rPr>
          <w:szCs w:val="18"/>
          <w:lang w:val="sv-SE"/>
        </w:rPr>
      </w:pPr>
      <w:r w:rsidRPr="00557599">
        <w:rPr>
          <w:rStyle w:val="Rimandonotaapidipagina"/>
          <w:snapToGrid w:val="0"/>
          <w:szCs w:val="18"/>
          <w:u w:color="000000"/>
        </w:rPr>
        <w:footnoteRef/>
      </w:r>
      <w:r w:rsidRPr="00A32F64">
        <w:rPr>
          <w:snapToGrid w:val="0"/>
          <w:szCs w:val="18"/>
          <w:u w:color="000000"/>
          <w:vertAlign w:val="superscript"/>
          <w:lang w:val="sv-SE"/>
        </w:rPr>
        <w:t> </w:t>
      </w:r>
      <w:r w:rsidRPr="00A32F64">
        <w:rPr>
          <w:szCs w:val="18"/>
          <w:lang w:val="sv-SE"/>
        </w:rPr>
        <w:t xml:space="preserve">Corte giust., 5 febbraio 1963, 26/62, </w:t>
      </w:r>
      <w:r w:rsidRPr="00A32F64">
        <w:rPr>
          <w:i/>
          <w:szCs w:val="18"/>
          <w:lang w:val="sv-SE"/>
        </w:rPr>
        <w:t>NV Algemene Transport-en Expedite Ondernemig Van Gend en Loos c. Netherlands Inland Revenue Administration</w:t>
      </w:r>
      <w:r w:rsidRPr="00A32F64">
        <w:rPr>
          <w:szCs w:val="18"/>
          <w:lang w:val="sv-SE"/>
        </w:rPr>
        <w:t>.</w:t>
      </w:r>
    </w:p>
  </w:footnote>
  <w:footnote w:id="48">
    <w:p w14:paraId="5DD1F043" w14:textId="37DBCA00" w:rsidR="000E3D39" w:rsidRPr="00A32F64" w:rsidRDefault="000E3D39" w:rsidP="00214E7A">
      <w:pPr>
        <w:pStyle w:val="Testonotaapidipagina"/>
        <w:rPr>
          <w:szCs w:val="18"/>
          <w:lang w:val="sv-SE"/>
        </w:rPr>
      </w:pPr>
      <w:r w:rsidRPr="00557599">
        <w:rPr>
          <w:rStyle w:val="Rimandonotaapidipagina"/>
          <w:snapToGrid w:val="0"/>
          <w:szCs w:val="18"/>
          <w:u w:color="000000"/>
        </w:rPr>
        <w:footnoteRef/>
      </w:r>
      <w:r w:rsidRPr="00A32F64">
        <w:rPr>
          <w:snapToGrid w:val="0"/>
          <w:szCs w:val="18"/>
          <w:u w:color="000000"/>
          <w:vertAlign w:val="superscript"/>
          <w:lang w:val="sv-SE"/>
        </w:rPr>
        <w:t> </w:t>
      </w:r>
      <w:r w:rsidRPr="00A32F64">
        <w:rPr>
          <w:szCs w:val="18"/>
          <w:lang w:val="sv-SE"/>
        </w:rPr>
        <w:t xml:space="preserve">Corte giust., 15 luglio 1964, 6/64, </w:t>
      </w:r>
      <w:r w:rsidRPr="00A32F64">
        <w:rPr>
          <w:i/>
          <w:szCs w:val="18"/>
          <w:lang w:val="sv-SE"/>
        </w:rPr>
        <w:t>Costa c. E.N.E.L</w:t>
      </w:r>
      <w:r w:rsidRPr="00A32F64">
        <w:rPr>
          <w:iCs/>
          <w:szCs w:val="18"/>
          <w:lang w:val="sv-SE"/>
        </w:rPr>
        <w:t>.</w:t>
      </w:r>
    </w:p>
  </w:footnote>
  <w:footnote w:id="49">
    <w:p w14:paraId="6CA5C8B3" w14:textId="7B8E4959" w:rsidR="000E3D39" w:rsidRPr="00A32F64" w:rsidRDefault="000E3D39" w:rsidP="00214E7A">
      <w:pPr>
        <w:pStyle w:val="Testonotaapidipagina"/>
        <w:rPr>
          <w:szCs w:val="18"/>
          <w:lang w:val="sv-SE"/>
        </w:rPr>
      </w:pPr>
      <w:r w:rsidRPr="00557599">
        <w:rPr>
          <w:rStyle w:val="Rimandonotaapidipagina"/>
          <w:snapToGrid w:val="0"/>
          <w:szCs w:val="18"/>
          <w:u w:color="000000"/>
        </w:rPr>
        <w:footnoteRef/>
      </w:r>
      <w:r w:rsidRPr="00A32F64">
        <w:rPr>
          <w:snapToGrid w:val="0"/>
          <w:szCs w:val="18"/>
          <w:u w:color="000000"/>
          <w:vertAlign w:val="superscript"/>
          <w:lang w:val="sv-SE"/>
        </w:rPr>
        <w:t> </w:t>
      </w:r>
      <w:r w:rsidRPr="00A32F64">
        <w:rPr>
          <w:szCs w:val="18"/>
          <w:lang w:val="sv-SE"/>
        </w:rPr>
        <w:t xml:space="preserve">Cfr. </w:t>
      </w:r>
      <w:r w:rsidRPr="00A32F64">
        <w:rPr>
          <w:i/>
          <w:szCs w:val="18"/>
          <w:lang w:val="sv-SE"/>
        </w:rPr>
        <w:t>ex multis</w:t>
      </w:r>
      <w:r w:rsidRPr="00A32F64">
        <w:rPr>
          <w:szCs w:val="18"/>
          <w:lang w:val="sv-SE"/>
        </w:rPr>
        <w:t xml:space="preserve">, Corte giust., 12 novembre 1969, 29/69, </w:t>
      </w:r>
      <w:r w:rsidRPr="00A32F64">
        <w:rPr>
          <w:i/>
          <w:szCs w:val="18"/>
          <w:lang w:val="sv-SE"/>
        </w:rPr>
        <w:t>Stauder c. Stadt Ulm-Sozialamt;</w:t>
      </w:r>
      <w:r w:rsidRPr="00A32F64">
        <w:rPr>
          <w:szCs w:val="18"/>
          <w:lang w:val="sv-SE"/>
        </w:rPr>
        <w:t xml:space="preserve"> 17 dicembre 1970, 11/70, </w:t>
      </w:r>
      <w:r w:rsidRPr="00A32F64">
        <w:rPr>
          <w:i/>
          <w:szCs w:val="18"/>
          <w:lang w:val="sv-SE"/>
        </w:rPr>
        <w:t>Internationale Handelsgesellschaft mbM c. Einfuhr- und Vorratsstelle für Getreide und Futtermittel</w:t>
      </w:r>
      <w:r w:rsidRPr="00A32F64">
        <w:rPr>
          <w:szCs w:val="18"/>
          <w:lang w:val="sv-SE"/>
        </w:rPr>
        <w:t xml:space="preserve">; 14 maggio 1974, 4/73, </w:t>
      </w:r>
      <w:r w:rsidRPr="00A32F64">
        <w:rPr>
          <w:i/>
          <w:szCs w:val="18"/>
          <w:lang w:val="sv-SE"/>
        </w:rPr>
        <w:t>Nold, Kohelen- und Baustoffgorgsshandlung c. Commissione</w:t>
      </w:r>
      <w:r w:rsidRPr="00A32F64">
        <w:rPr>
          <w:szCs w:val="18"/>
          <w:lang w:val="sv-SE"/>
        </w:rPr>
        <w:t xml:space="preserve">; 28 ottobre 1975, 36/75, </w:t>
      </w:r>
      <w:r w:rsidRPr="00A32F64">
        <w:rPr>
          <w:i/>
          <w:szCs w:val="18"/>
          <w:lang w:val="sv-SE"/>
        </w:rPr>
        <w:t>Rutili c. Ministre de l’intérieur</w:t>
      </w:r>
      <w:r w:rsidRPr="00A32F64">
        <w:rPr>
          <w:szCs w:val="18"/>
          <w:lang w:val="sv-SE"/>
        </w:rPr>
        <w:t xml:space="preserve">; 11 luglio 1985, 60/84 e 61/84, </w:t>
      </w:r>
      <w:r w:rsidRPr="00A32F64">
        <w:rPr>
          <w:i/>
          <w:szCs w:val="18"/>
          <w:lang w:val="sv-SE"/>
        </w:rPr>
        <w:t>Cinéthèque c. Fédération nationale des cinémas français</w:t>
      </w:r>
      <w:r w:rsidRPr="00A32F64">
        <w:rPr>
          <w:szCs w:val="18"/>
          <w:lang w:val="sv-SE"/>
        </w:rPr>
        <w:t xml:space="preserve">; 18 giugno 1991, C-260/89, </w:t>
      </w:r>
      <w:r w:rsidRPr="00A32F64">
        <w:rPr>
          <w:i/>
          <w:szCs w:val="18"/>
          <w:lang w:val="sv-SE"/>
        </w:rPr>
        <w:t>ERT c. DEP</w:t>
      </w:r>
      <w:r w:rsidRPr="00A32F64">
        <w:rPr>
          <w:szCs w:val="18"/>
          <w:lang w:val="sv-SE"/>
        </w:rPr>
        <w:t>.</w:t>
      </w:r>
    </w:p>
  </w:footnote>
  <w:footnote w:id="50">
    <w:p w14:paraId="19137BF8" w14:textId="04AD2A24"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w:t>
      </w:r>
      <w:proofErr w:type="spellStart"/>
      <w:r w:rsidRPr="00464DEB">
        <w:rPr>
          <w:szCs w:val="18"/>
        </w:rPr>
        <w:t>giust</w:t>
      </w:r>
      <w:proofErr w:type="spellEnd"/>
      <w:r w:rsidRPr="00464DEB">
        <w:rPr>
          <w:szCs w:val="18"/>
        </w:rPr>
        <w:t xml:space="preserve">., 6 ottobre 1982, 283/81, </w:t>
      </w:r>
      <w:proofErr w:type="spellStart"/>
      <w:r w:rsidRPr="00853B2F">
        <w:rPr>
          <w:i/>
          <w:szCs w:val="18"/>
        </w:rPr>
        <w:t>Srl</w:t>
      </w:r>
      <w:proofErr w:type="spellEnd"/>
      <w:r w:rsidRPr="00853B2F">
        <w:rPr>
          <w:i/>
          <w:szCs w:val="18"/>
        </w:rPr>
        <w:t xml:space="preserve"> CILFIT e Lanificio di </w:t>
      </w:r>
      <w:proofErr w:type="spellStart"/>
      <w:r w:rsidRPr="00853B2F">
        <w:rPr>
          <w:i/>
          <w:szCs w:val="18"/>
        </w:rPr>
        <w:t>Govardo</w:t>
      </w:r>
      <w:proofErr w:type="spellEnd"/>
      <w:r w:rsidRPr="00853B2F">
        <w:rPr>
          <w:i/>
          <w:szCs w:val="18"/>
        </w:rPr>
        <w:t xml:space="preserve"> </w:t>
      </w:r>
      <w:proofErr w:type="spellStart"/>
      <w:r w:rsidRPr="00853B2F">
        <w:rPr>
          <w:i/>
          <w:szCs w:val="18"/>
        </w:rPr>
        <w:t>SpA</w:t>
      </w:r>
      <w:proofErr w:type="spellEnd"/>
      <w:r w:rsidRPr="00853B2F">
        <w:rPr>
          <w:i/>
          <w:szCs w:val="18"/>
        </w:rPr>
        <w:t xml:space="preserve"> c. Ministero della Sanità</w:t>
      </w:r>
      <w:r w:rsidRPr="00464DEB">
        <w:rPr>
          <w:szCs w:val="18"/>
        </w:rPr>
        <w:t>.</w:t>
      </w:r>
    </w:p>
  </w:footnote>
  <w:footnote w:id="51">
    <w:p w14:paraId="1942E4AB" w14:textId="78C43C32"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giust., 27 ottobre 1977, 30/77, </w:t>
      </w:r>
      <w:r w:rsidRPr="00853B2F">
        <w:rPr>
          <w:i/>
          <w:szCs w:val="18"/>
        </w:rPr>
        <w:t xml:space="preserve">Regina c. </w:t>
      </w:r>
      <w:proofErr w:type="spellStart"/>
      <w:r w:rsidRPr="00853B2F">
        <w:rPr>
          <w:i/>
          <w:szCs w:val="18"/>
        </w:rPr>
        <w:t>Bouchereau</w:t>
      </w:r>
      <w:proofErr w:type="spellEnd"/>
      <w:r w:rsidRPr="00464DEB">
        <w:rPr>
          <w:szCs w:val="18"/>
        </w:rPr>
        <w:t>.</w:t>
      </w:r>
    </w:p>
  </w:footnote>
  <w:footnote w:id="52">
    <w:p w14:paraId="2B8E12E1" w14:textId="5F2CC00A"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Conclusioni dell’A.G. </w:t>
      </w:r>
      <w:proofErr w:type="spellStart"/>
      <w:r w:rsidRPr="00613BA7">
        <w:rPr>
          <w:rFonts w:ascii="Adobe Garamond Pro" w:hAnsi="Adobe Garamond Pro" w:cs="Cambria"/>
          <w:sz w:val="20"/>
          <w:szCs w:val="20"/>
        </w:rPr>
        <w:t>Ć</w:t>
      </w:r>
      <w:r w:rsidRPr="00464DEB">
        <w:rPr>
          <w:szCs w:val="18"/>
        </w:rPr>
        <w:t>apeta</w:t>
      </w:r>
      <w:proofErr w:type="spellEnd"/>
      <w:r w:rsidRPr="00464DEB">
        <w:rPr>
          <w:szCs w:val="18"/>
        </w:rPr>
        <w:t>, del 23 novembre 2023, C</w:t>
      </w:r>
      <w:r w:rsidRPr="00464DEB">
        <w:rPr>
          <w:szCs w:val="18"/>
        </w:rPr>
        <w:noBreakHyphen/>
        <w:t>29/22 P e C</w:t>
      </w:r>
      <w:r w:rsidRPr="00464DEB">
        <w:rPr>
          <w:szCs w:val="18"/>
        </w:rPr>
        <w:noBreakHyphen/>
        <w:t xml:space="preserve">44/22 P, </w:t>
      </w:r>
      <w:r w:rsidRPr="00853B2F">
        <w:rPr>
          <w:i/>
          <w:iCs/>
          <w:szCs w:val="18"/>
        </w:rPr>
        <w:t>KS, KD c. Consiglio ed altri</w:t>
      </w:r>
      <w:r w:rsidRPr="00464DEB">
        <w:rPr>
          <w:szCs w:val="18"/>
        </w:rPr>
        <w:t>, par. 93 ss.</w:t>
      </w:r>
    </w:p>
  </w:footnote>
  <w:footnote w:id="53">
    <w:p w14:paraId="67A980D5" w14:textId="158A9BD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Corte giust., 2 giugno 2022, C-196/21, </w:t>
      </w:r>
      <w:r w:rsidRPr="00853B2F">
        <w:rPr>
          <w:i/>
          <w:szCs w:val="18"/>
        </w:rPr>
        <w:t>SR</w:t>
      </w:r>
      <w:r w:rsidRPr="00464DEB">
        <w:rPr>
          <w:szCs w:val="18"/>
        </w:rPr>
        <w:t>, punti 32 ss.</w:t>
      </w:r>
    </w:p>
  </w:footnote>
  <w:footnote w:id="54">
    <w:p w14:paraId="09DC268F" w14:textId="2D80931B"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Secondo una costante giurisprudenza, quando si interpreta una disposizione del diritto del</w:t>
      </w:r>
      <w:r>
        <w:rPr>
          <w:szCs w:val="18"/>
        </w:rPr>
        <w:softHyphen/>
      </w:r>
      <w:r w:rsidRPr="00464DEB">
        <w:rPr>
          <w:szCs w:val="18"/>
        </w:rPr>
        <w:t>l’Unione occorre tenere conto non soltanto della formulazione di quest’ultima, ma anche del suo contesto e degli obiettivi che persegue l’atto di cui fa parte. Anche la genesi di una disposizione del diritto dell’Unione può fornire elementi rilevanti per la sua interpretazione [Corte giust. (Grande Sez</w:t>
      </w:r>
      <w:r>
        <w:rPr>
          <w:szCs w:val="18"/>
        </w:rPr>
        <w:t>.</w:t>
      </w:r>
      <w:r w:rsidRPr="00464DEB">
        <w:rPr>
          <w:szCs w:val="18"/>
        </w:rPr>
        <w:t>), 25 giugno 2020, C</w:t>
      </w:r>
      <w:r w:rsidRPr="00464DEB">
        <w:rPr>
          <w:szCs w:val="18"/>
        </w:rPr>
        <w:noBreakHyphen/>
        <w:t xml:space="preserve">24/19, </w:t>
      </w:r>
      <w:r w:rsidRPr="00853B2F">
        <w:rPr>
          <w:i/>
          <w:iCs/>
          <w:szCs w:val="18"/>
        </w:rPr>
        <w:t xml:space="preserve">A e a. (Impianti eolici di </w:t>
      </w:r>
      <w:proofErr w:type="spellStart"/>
      <w:r w:rsidRPr="00853B2F">
        <w:rPr>
          <w:i/>
          <w:iCs/>
          <w:szCs w:val="18"/>
        </w:rPr>
        <w:t>Aalter</w:t>
      </w:r>
      <w:proofErr w:type="spellEnd"/>
      <w:r w:rsidRPr="00853B2F">
        <w:rPr>
          <w:i/>
          <w:iCs/>
          <w:szCs w:val="18"/>
        </w:rPr>
        <w:t xml:space="preserve"> e </w:t>
      </w:r>
      <w:proofErr w:type="spellStart"/>
      <w:r w:rsidRPr="00853B2F">
        <w:rPr>
          <w:i/>
          <w:iCs/>
          <w:szCs w:val="18"/>
        </w:rPr>
        <w:t>Nevele</w:t>
      </w:r>
      <w:proofErr w:type="spellEnd"/>
      <w:r w:rsidRPr="00853B2F">
        <w:rPr>
          <w:i/>
          <w:iCs/>
          <w:szCs w:val="18"/>
        </w:rPr>
        <w:t>)</w:t>
      </w:r>
      <w:r w:rsidRPr="00464DEB">
        <w:rPr>
          <w:szCs w:val="18"/>
        </w:rPr>
        <w:t xml:space="preserve">, punto 37; </w:t>
      </w:r>
      <w:proofErr w:type="spellStart"/>
      <w:r w:rsidRPr="00464DEB">
        <w:rPr>
          <w:szCs w:val="18"/>
        </w:rPr>
        <w:t>Trib</w:t>
      </w:r>
      <w:proofErr w:type="spellEnd"/>
      <w:r w:rsidRPr="00464DEB">
        <w:rPr>
          <w:szCs w:val="18"/>
        </w:rPr>
        <w:t xml:space="preserve">., 13 luglio 2022, T-227/21, </w:t>
      </w:r>
      <w:r w:rsidRPr="00853B2F">
        <w:rPr>
          <w:i/>
          <w:iCs/>
          <w:szCs w:val="18"/>
        </w:rPr>
        <w:t>Illumina</w:t>
      </w:r>
      <w:r w:rsidRPr="00464DEB">
        <w:rPr>
          <w:szCs w:val="18"/>
        </w:rPr>
        <w:t>, punto 88].</w:t>
      </w:r>
    </w:p>
  </w:footnote>
  <w:footnote w:id="55">
    <w:p w14:paraId="58EC3E34" w14:textId="3084694F"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giust., 1° giugno 1995, C-40/93, </w:t>
      </w:r>
      <w:r w:rsidRPr="00853B2F">
        <w:rPr>
          <w:i/>
          <w:szCs w:val="18"/>
        </w:rPr>
        <w:t>Commissione c. Italia</w:t>
      </w:r>
      <w:r w:rsidRPr="00464DEB">
        <w:rPr>
          <w:szCs w:val="18"/>
        </w:rPr>
        <w:t>.</w:t>
      </w:r>
    </w:p>
  </w:footnote>
  <w:footnote w:id="56">
    <w:p w14:paraId="77BCB262" w14:textId="498790EA"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giust., 21 febbraio 1973, 3/72, </w:t>
      </w:r>
      <w:proofErr w:type="spellStart"/>
      <w:r w:rsidRPr="00853B2F">
        <w:rPr>
          <w:i/>
          <w:szCs w:val="18"/>
        </w:rPr>
        <w:t>Europemballage</w:t>
      </w:r>
      <w:proofErr w:type="spellEnd"/>
      <w:r w:rsidRPr="00853B2F">
        <w:rPr>
          <w:i/>
          <w:szCs w:val="18"/>
        </w:rPr>
        <w:t xml:space="preserve"> Corporation et Continental Can Company c. Commission</w:t>
      </w:r>
      <w:r w:rsidRPr="00464DEB">
        <w:rPr>
          <w:szCs w:val="18"/>
        </w:rPr>
        <w:t>.</w:t>
      </w:r>
    </w:p>
  </w:footnote>
  <w:footnote w:id="57">
    <w:p w14:paraId="0678E92B" w14:textId="58C6ABDD"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giust., 15 luglio 1963, 34/62, </w:t>
      </w:r>
      <w:r w:rsidRPr="00853B2F">
        <w:rPr>
          <w:i/>
          <w:szCs w:val="18"/>
        </w:rPr>
        <w:t>Germania c. Commissione</w:t>
      </w:r>
      <w:r w:rsidRPr="00464DEB">
        <w:rPr>
          <w:szCs w:val="18"/>
        </w:rPr>
        <w:t>.</w:t>
      </w:r>
    </w:p>
  </w:footnote>
  <w:footnote w:id="58">
    <w:p w14:paraId="30EA66D2" w14:textId="6240E672"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Corte giust., </w:t>
      </w:r>
      <w:r w:rsidRPr="00853B2F">
        <w:rPr>
          <w:i/>
          <w:iCs/>
          <w:szCs w:val="18"/>
        </w:rPr>
        <w:t xml:space="preserve">Stauder c. </w:t>
      </w:r>
      <w:proofErr w:type="spellStart"/>
      <w:r w:rsidRPr="00853B2F">
        <w:rPr>
          <w:i/>
          <w:iCs/>
          <w:szCs w:val="18"/>
        </w:rPr>
        <w:t>Stadt</w:t>
      </w:r>
      <w:proofErr w:type="spellEnd"/>
      <w:r w:rsidRPr="00853B2F">
        <w:rPr>
          <w:i/>
          <w:szCs w:val="18"/>
        </w:rPr>
        <w:t xml:space="preserve"> </w:t>
      </w:r>
      <w:proofErr w:type="spellStart"/>
      <w:r w:rsidRPr="00853B2F">
        <w:rPr>
          <w:i/>
          <w:szCs w:val="18"/>
        </w:rPr>
        <w:t>Ulm</w:t>
      </w:r>
      <w:r>
        <w:rPr>
          <w:i/>
          <w:szCs w:val="18"/>
        </w:rPr>
        <w:t>-</w:t>
      </w:r>
      <w:r w:rsidRPr="00853B2F">
        <w:rPr>
          <w:i/>
          <w:szCs w:val="18"/>
        </w:rPr>
        <w:t>Stozialamt</w:t>
      </w:r>
      <w:proofErr w:type="spellEnd"/>
      <w:r w:rsidRPr="00464DEB">
        <w:rPr>
          <w:iCs/>
          <w:szCs w:val="18"/>
        </w:rPr>
        <w:t>, cit</w:t>
      </w:r>
      <w:r w:rsidRPr="00464DEB">
        <w:rPr>
          <w:szCs w:val="18"/>
        </w:rPr>
        <w:t>.</w:t>
      </w:r>
    </w:p>
  </w:footnote>
  <w:footnote w:id="59">
    <w:p w14:paraId="1FA14F86" w14:textId="5696C98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Si noti come i Trattati, sin dalla loro originaria formulazione, attribuisc</w:t>
      </w:r>
      <w:r>
        <w:rPr>
          <w:szCs w:val="18"/>
        </w:rPr>
        <w:t>a</w:t>
      </w:r>
      <w:r w:rsidRPr="00464DEB">
        <w:rPr>
          <w:szCs w:val="18"/>
        </w:rPr>
        <w:t>no il potere di nomina non al Consiglio, ma ai rappresentanti dei governi degli Stati membri, preferendo quindi una procedura che non comporta l’adozione di un atto dell’Unione in senso formale ma piuttosto un accordo internazionale concluso dagli Stati membri in forma semplificata.</w:t>
      </w:r>
    </w:p>
  </w:footnote>
  <w:footnote w:id="60">
    <w:p w14:paraId="193F6F1A" w14:textId="2812AE6D"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w:t>
      </w:r>
      <w:r>
        <w:rPr>
          <w:szCs w:val="18"/>
        </w:rPr>
        <w:t>CEDU</w:t>
      </w:r>
      <w:r w:rsidRPr="00464DEB">
        <w:rPr>
          <w:szCs w:val="18"/>
        </w:rPr>
        <w:t>, art. 26, par. 4.</w:t>
      </w:r>
    </w:p>
  </w:footnote>
  <w:footnote w:id="61">
    <w:p w14:paraId="48B49BB7" w14:textId="16359D87"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Corte giust. (Grande Sez</w:t>
      </w:r>
      <w:r>
        <w:rPr>
          <w:szCs w:val="18"/>
        </w:rPr>
        <w:t>.</w:t>
      </w:r>
      <w:r w:rsidRPr="00464DEB">
        <w:rPr>
          <w:szCs w:val="18"/>
        </w:rPr>
        <w:t xml:space="preserve">), 29 luglio 2024, C-119/23, </w:t>
      </w:r>
      <w:proofErr w:type="spellStart"/>
      <w:r w:rsidRPr="00853B2F">
        <w:rPr>
          <w:i/>
          <w:iCs/>
          <w:szCs w:val="18"/>
        </w:rPr>
        <w:t>Valan</w:t>
      </w:r>
      <w:r w:rsidRPr="00651730">
        <w:rPr>
          <w:rFonts w:ascii="Simoncini Garamond" w:hAnsi="Simoncini Garamond" w:cs="Cambria"/>
          <w:i/>
          <w:iCs/>
          <w:szCs w:val="18"/>
        </w:rPr>
        <w:t>č</w:t>
      </w:r>
      <w:r w:rsidRPr="00853B2F">
        <w:rPr>
          <w:i/>
          <w:iCs/>
          <w:szCs w:val="18"/>
        </w:rPr>
        <w:t>ius</w:t>
      </w:r>
      <w:proofErr w:type="spellEnd"/>
      <w:r w:rsidRPr="00464DEB">
        <w:rPr>
          <w:szCs w:val="18"/>
        </w:rPr>
        <w:t>, punti 54</w:t>
      </w:r>
      <w:r>
        <w:rPr>
          <w:szCs w:val="18"/>
        </w:rPr>
        <w:t>-</w:t>
      </w:r>
      <w:r w:rsidRPr="00464DEB">
        <w:rPr>
          <w:szCs w:val="18"/>
        </w:rPr>
        <w:t>55.</w:t>
      </w:r>
      <w:r>
        <w:rPr>
          <w:szCs w:val="18"/>
        </w:rPr>
        <w:t xml:space="preserve"> Se pure riguardante la nomina di un giudice del Tribunale, le valutazioni effettuate in questa pronuncia sono del tutto trasponibili alla procedura di nomina dei membri della Corte.</w:t>
      </w:r>
    </w:p>
  </w:footnote>
  <w:footnote w:id="62">
    <w:p w14:paraId="7777B270" w14:textId="1896467E"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In Italia una procedura formale di nomina dei membri della CGUE è stata introdotta per la prima volta nel 2019 in occasione della designazione dei due membri del Tribunale proposti dal</w:t>
      </w:r>
      <w:r w:rsidR="00A32F64">
        <w:rPr>
          <w:szCs w:val="18"/>
        </w:rPr>
        <w:softHyphen/>
      </w:r>
      <w:r w:rsidRPr="00464DEB">
        <w:rPr>
          <w:szCs w:val="18"/>
        </w:rPr>
        <w:t xml:space="preserve">l’Italia (v. Decreto Presidenziale del 3 ottobre 2018, recante Procedura di selezione dei candidati per l’elezione a giudice del Tribunale dell’Unione europea, in </w:t>
      </w:r>
      <w:r w:rsidRPr="00853B2F">
        <w:rPr>
          <w:i/>
          <w:iCs/>
          <w:szCs w:val="18"/>
        </w:rPr>
        <w:t>GURI</w:t>
      </w:r>
      <w:r w:rsidRPr="00464DEB">
        <w:rPr>
          <w:szCs w:val="18"/>
        </w:rPr>
        <w:t xml:space="preserve"> del 9 ottobre 2018, 4° serie speciale n. 80), ma non è codificata in testi di rango primario</w:t>
      </w:r>
      <w:r>
        <w:rPr>
          <w:szCs w:val="18"/>
        </w:rPr>
        <w:t xml:space="preserve"> o secondario</w:t>
      </w:r>
      <w:r w:rsidRPr="00464DEB">
        <w:rPr>
          <w:szCs w:val="18"/>
        </w:rPr>
        <w:t>, prevedendo l’art. 17 della legge n. 234</w:t>
      </w:r>
      <w:r>
        <w:rPr>
          <w:szCs w:val="18"/>
        </w:rPr>
        <w:t>/</w:t>
      </w:r>
      <w:r w:rsidRPr="00464DEB">
        <w:rPr>
          <w:szCs w:val="18"/>
        </w:rPr>
        <w:t xml:space="preserve">2012 soltanto un obbligo per il Governo di informare le Camere rispetto a proposte e designazioni </w:t>
      </w:r>
      <w:r w:rsidRPr="00651730">
        <w:rPr>
          <w:i/>
          <w:szCs w:val="18"/>
        </w:rPr>
        <w:t>già effettuate</w:t>
      </w:r>
      <w:r w:rsidRPr="00464DEB">
        <w:rPr>
          <w:szCs w:val="18"/>
        </w:rPr>
        <w:t xml:space="preserve"> dei membri della CGUE, nonché la facoltà delle competenti commissioni parlamentari di chiederne l’audizione </w:t>
      </w:r>
      <w:r w:rsidRPr="00651730">
        <w:rPr>
          <w:i/>
          <w:szCs w:val="18"/>
        </w:rPr>
        <w:t>dopo</w:t>
      </w:r>
      <w:r w:rsidRPr="00464DEB">
        <w:rPr>
          <w:szCs w:val="18"/>
        </w:rPr>
        <w:t xml:space="preserve"> l’effettiva assunzione delle funzioni. Ed infatti, le successive designazioni per la Corte di giustizia, avvenute nel 2024, non sono state precedute da una procedura trasparente.</w:t>
      </w:r>
    </w:p>
  </w:footnote>
  <w:footnote w:id="63">
    <w:p w14:paraId="798D458C" w14:textId="491B2982"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Si veda la citata sentenza </w:t>
      </w:r>
      <w:proofErr w:type="spellStart"/>
      <w:r w:rsidRPr="00853B2F">
        <w:rPr>
          <w:i/>
          <w:iCs/>
          <w:szCs w:val="18"/>
        </w:rPr>
        <w:t>Valan</w:t>
      </w:r>
      <w:r w:rsidRPr="009E5DD1">
        <w:rPr>
          <w:rFonts w:ascii="Adobe Garamond Pro" w:hAnsi="Adobe Garamond Pro" w:cs="Cambria"/>
          <w:i/>
          <w:iCs/>
          <w:sz w:val="20"/>
          <w:szCs w:val="20"/>
        </w:rPr>
        <w:t>č</w:t>
      </w:r>
      <w:r w:rsidRPr="00853B2F">
        <w:rPr>
          <w:i/>
          <w:iCs/>
          <w:szCs w:val="18"/>
        </w:rPr>
        <w:t>ius</w:t>
      </w:r>
      <w:proofErr w:type="spellEnd"/>
      <w:r w:rsidRPr="00464DEB">
        <w:rPr>
          <w:szCs w:val="18"/>
        </w:rPr>
        <w:t xml:space="preserve">, relativa alla procedura di nomina </w:t>
      </w:r>
      <w:r>
        <w:rPr>
          <w:szCs w:val="18"/>
        </w:rPr>
        <w:t>di un</w:t>
      </w:r>
      <w:r w:rsidRPr="00464DEB">
        <w:rPr>
          <w:szCs w:val="18"/>
        </w:rPr>
        <w:t xml:space="preserve"> giudice del Tribunale, nella quale è stata posto dinanzi alla Corte il problema della conformità con le regole del Trattato sull’indipendenza dei giudici dell’Unione della scelta, effettuata dal Governo lituano, di proporre per il Tribunale un candidato </w:t>
      </w:r>
      <w:r>
        <w:rPr>
          <w:szCs w:val="18"/>
        </w:rPr>
        <w:t xml:space="preserve">diverso da quello indicato </w:t>
      </w:r>
      <w:r w:rsidRPr="00464DEB">
        <w:rPr>
          <w:szCs w:val="18"/>
        </w:rPr>
        <w:t xml:space="preserve">come </w:t>
      </w:r>
      <w:r>
        <w:rPr>
          <w:szCs w:val="18"/>
        </w:rPr>
        <w:t>quello preferito</w:t>
      </w:r>
      <w:r w:rsidRPr="00464DEB">
        <w:rPr>
          <w:szCs w:val="18"/>
        </w:rPr>
        <w:t xml:space="preserve"> da un comitato interno all’esito di una procedura di selezione pubblica</w:t>
      </w:r>
      <w:r>
        <w:rPr>
          <w:szCs w:val="18"/>
        </w:rPr>
        <w:t>, ma comunque inserito nella lista degli idonei</w:t>
      </w:r>
      <w:r w:rsidRPr="00464DEB">
        <w:rPr>
          <w:szCs w:val="18"/>
        </w:rPr>
        <w:t>.</w:t>
      </w:r>
    </w:p>
  </w:footnote>
  <w:footnote w:id="64">
    <w:p w14:paraId="658976AF" w14:textId="41E7B9B0"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Corte </w:t>
      </w:r>
      <w:proofErr w:type="spellStart"/>
      <w:r w:rsidRPr="00464DEB">
        <w:rPr>
          <w:szCs w:val="18"/>
        </w:rPr>
        <w:t>giust</w:t>
      </w:r>
      <w:proofErr w:type="spellEnd"/>
      <w:r w:rsidRPr="00464DEB">
        <w:rPr>
          <w:szCs w:val="18"/>
        </w:rPr>
        <w:t xml:space="preserve">., </w:t>
      </w:r>
      <w:proofErr w:type="spellStart"/>
      <w:r w:rsidRPr="00853B2F">
        <w:rPr>
          <w:i/>
          <w:iCs/>
          <w:szCs w:val="18"/>
        </w:rPr>
        <w:t>Valan</w:t>
      </w:r>
      <w:r w:rsidRPr="009E5DD1">
        <w:rPr>
          <w:rFonts w:ascii="Adobe Garamond Pro" w:hAnsi="Adobe Garamond Pro" w:cs="Cambria"/>
          <w:i/>
          <w:iCs/>
          <w:sz w:val="20"/>
          <w:szCs w:val="20"/>
        </w:rPr>
        <w:t>č</w:t>
      </w:r>
      <w:r w:rsidRPr="00853B2F">
        <w:rPr>
          <w:i/>
          <w:iCs/>
          <w:szCs w:val="18"/>
        </w:rPr>
        <w:t>ius</w:t>
      </w:r>
      <w:proofErr w:type="spellEnd"/>
      <w:r w:rsidRPr="00853B2F">
        <w:rPr>
          <w:i/>
          <w:iCs/>
          <w:szCs w:val="18"/>
        </w:rPr>
        <w:t xml:space="preserve">, </w:t>
      </w:r>
      <w:r w:rsidRPr="00464DEB">
        <w:rPr>
          <w:szCs w:val="18"/>
        </w:rPr>
        <w:t>cit., punto 56.</w:t>
      </w:r>
    </w:p>
  </w:footnote>
  <w:footnote w:id="65">
    <w:p w14:paraId="2F4B2213" w14:textId="0D3A4471" w:rsidR="000E3D39" w:rsidRPr="00A21686" w:rsidRDefault="000E3D39">
      <w:pPr>
        <w:pStyle w:val="Testonotaapidipagina"/>
      </w:pPr>
      <w:r>
        <w:rPr>
          <w:rStyle w:val="Rimandonotaapidipagina"/>
        </w:rPr>
        <w:footnoteRef/>
      </w:r>
      <w:r w:rsidR="00651730" w:rsidRPr="00651730">
        <w:rPr>
          <w:vertAlign w:val="superscript"/>
        </w:rPr>
        <w:t> </w:t>
      </w:r>
      <w:r>
        <w:t xml:space="preserve">L’attività del Comitato ha avuto inizio il 1° marzo 2020. </w:t>
      </w:r>
      <w:r w:rsidRPr="00A21686">
        <w:t>Cfr. Decisioni del Consiglio n. 2010/124, del 25 febbraio 2010</w:t>
      </w:r>
      <w:r>
        <w:t>,</w:t>
      </w:r>
      <w:r w:rsidRPr="00A21686">
        <w:t xml:space="preserve"> relativa alle norme di funzionamento del comitato previsto all'articolo 255 del trattato sul funzionamento </w:t>
      </w:r>
      <w:r w:rsidR="00651730" w:rsidRPr="00A21686">
        <w:t>dell</w:t>
      </w:r>
      <w:r w:rsidR="00651730">
        <w:t>’</w:t>
      </w:r>
      <w:r w:rsidR="00651730" w:rsidRPr="00A21686">
        <w:t xml:space="preserve">Unione </w:t>
      </w:r>
      <w:r w:rsidRPr="00A21686">
        <w:t xml:space="preserve">europea, e </w:t>
      </w:r>
      <w:r w:rsidRPr="00A21686">
        <w:rPr>
          <w:bCs/>
        </w:rPr>
        <w:t>n. 2010/125, del 25 febbraio 2010</w:t>
      </w:r>
      <w:r>
        <w:rPr>
          <w:bCs/>
        </w:rPr>
        <w:t>,</w:t>
      </w:r>
      <w:r w:rsidRPr="00A21686">
        <w:rPr>
          <w:bCs/>
        </w:rPr>
        <w:t xml:space="preserve"> relativa alla designazione dei membri del comitato previsto all</w:t>
      </w:r>
      <w:r w:rsidR="00651730">
        <w:rPr>
          <w:bCs/>
        </w:rPr>
        <w:t>’</w:t>
      </w:r>
      <w:r w:rsidRPr="00A21686">
        <w:rPr>
          <w:bCs/>
        </w:rPr>
        <w:t>articolo</w:t>
      </w:r>
      <w:r w:rsidR="00651730">
        <w:rPr>
          <w:bCs/>
        </w:rPr>
        <w:t xml:space="preserve"> </w:t>
      </w:r>
      <w:r w:rsidRPr="00A21686">
        <w:rPr>
          <w:bCs/>
        </w:rPr>
        <w:t>255 del trattato sul funzionamento dell</w:t>
      </w:r>
      <w:r w:rsidR="00651730">
        <w:rPr>
          <w:bCs/>
        </w:rPr>
        <w:t>’</w:t>
      </w:r>
      <w:r w:rsidRPr="00A21686">
        <w:rPr>
          <w:bCs/>
        </w:rPr>
        <w:t>Unione europea</w:t>
      </w:r>
      <w:r>
        <w:rPr>
          <w:bCs/>
        </w:rPr>
        <w:t xml:space="preserve"> (in GUUE, L 50 del 27 ottobre 2010, p. 18 ss.)</w:t>
      </w:r>
      <w:r w:rsidRPr="00A21686">
        <w:rPr>
          <w:bCs/>
        </w:rPr>
        <w:t>.</w:t>
      </w:r>
    </w:p>
  </w:footnote>
  <w:footnote w:id="66">
    <w:p w14:paraId="60B92F8C" w14:textId="4C9CBBC2"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L’attuale composizione del Comitato, che comprende la </w:t>
      </w:r>
      <w:r w:rsidRPr="00853B2F">
        <w:rPr>
          <w:i/>
          <w:iCs/>
          <w:szCs w:val="18"/>
        </w:rPr>
        <w:t>ex</w:t>
      </w:r>
      <w:r w:rsidRPr="00464DEB">
        <w:rPr>
          <w:szCs w:val="18"/>
        </w:rPr>
        <w:t xml:space="preserve"> Presidente della Corte costituzionale italiana Silvana Sciarra, si rinviene nella Decisione</w:t>
      </w:r>
      <w:r>
        <w:rPr>
          <w:szCs w:val="18"/>
        </w:rPr>
        <w:t xml:space="preserve"> del Consiglio</w:t>
      </w:r>
      <w:r w:rsidRPr="00464DEB">
        <w:rPr>
          <w:bCs/>
          <w:szCs w:val="18"/>
        </w:rPr>
        <w:t xml:space="preserve"> </w:t>
      </w:r>
      <w:r>
        <w:rPr>
          <w:bCs/>
          <w:szCs w:val="18"/>
        </w:rPr>
        <w:t xml:space="preserve">n. </w:t>
      </w:r>
      <w:r w:rsidRPr="00464DEB">
        <w:rPr>
          <w:bCs/>
          <w:szCs w:val="18"/>
        </w:rPr>
        <w:t xml:space="preserve">2021/2232, del 14 dicembre 2021, relativa alla designazione dei membri del comitato previsto all’articolo 255 del trattato sul funzionamento dell’Unione europea (in </w:t>
      </w:r>
      <w:r w:rsidRPr="00853B2F">
        <w:rPr>
          <w:bCs/>
          <w:i/>
          <w:iCs/>
          <w:szCs w:val="18"/>
        </w:rPr>
        <w:t>GUUE</w:t>
      </w:r>
      <w:r w:rsidRPr="00464DEB">
        <w:rPr>
          <w:bCs/>
          <w:szCs w:val="18"/>
        </w:rPr>
        <w:t xml:space="preserve"> del 15 dicembre 2021, n. L 448, p. 66).</w:t>
      </w:r>
    </w:p>
  </w:footnote>
  <w:footnote w:id="67">
    <w:p w14:paraId="30341F86" w14:textId="1114E511"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In totale</w:t>
      </w:r>
      <w:r>
        <w:rPr>
          <w:szCs w:val="18"/>
        </w:rPr>
        <w:t>, secondo gli ultimi dati forniti dal Comitato</w:t>
      </w:r>
      <w:r w:rsidRPr="00464DEB">
        <w:rPr>
          <w:szCs w:val="18"/>
        </w:rPr>
        <w:t xml:space="preserve">, 215 dei pareri espressi dall’inizio dei lavori del comitato a partire dal 2010 sono stati positivi e 28 negativi. Non sono stati espressi pareri negativi sui candidati al rinnovo del mandato. Di conseguenza, il 21,5 % (28 su 130) dei pareri sui candidati a un primo mandato è stato negativo (cfr. </w:t>
      </w:r>
      <w:r w:rsidRPr="00853B2F">
        <w:rPr>
          <w:i/>
          <w:iCs/>
          <w:szCs w:val="18"/>
        </w:rPr>
        <w:t>https://comite255.europa.eu/it/work</w:t>
      </w:r>
      <w:r w:rsidRPr="00464DEB">
        <w:rPr>
          <w:szCs w:val="18"/>
        </w:rPr>
        <w:t>). Il Comitato pubblica sul proprio sito dei rapporti sull’attività svolta, l’ultimo dei quali (il settimo) è stato adottato il 25 febbraio 2022.</w:t>
      </w:r>
    </w:p>
  </w:footnote>
  <w:footnote w:id="68">
    <w:p w14:paraId="4DEA93D2" w14:textId="79624709"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Corte giust. (</w:t>
      </w:r>
      <w:proofErr w:type="spellStart"/>
      <w:r w:rsidRPr="00464DEB">
        <w:rPr>
          <w:szCs w:val="18"/>
        </w:rPr>
        <w:t>ord</w:t>
      </w:r>
      <w:proofErr w:type="spellEnd"/>
      <w:r w:rsidRPr="00464DEB">
        <w:rPr>
          <w:szCs w:val="18"/>
        </w:rPr>
        <w:t>.), 16 giugno 2021, C</w:t>
      </w:r>
      <w:r w:rsidRPr="00464DEB">
        <w:rPr>
          <w:rFonts w:cs="Cambria Math"/>
          <w:szCs w:val="18"/>
        </w:rPr>
        <w:t>-</w:t>
      </w:r>
      <w:r w:rsidRPr="00464DEB">
        <w:rPr>
          <w:szCs w:val="18"/>
        </w:rPr>
        <w:t xml:space="preserve">685/20 P, </w:t>
      </w:r>
      <w:r w:rsidRPr="00853B2F">
        <w:rPr>
          <w:i/>
          <w:iCs/>
          <w:szCs w:val="18"/>
        </w:rPr>
        <w:t>Sharpston</w:t>
      </w:r>
      <w:r w:rsidRPr="00464DEB">
        <w:rPr>
          <w:szCs w:val="18"/>
        </w:rPr>
        <w:t>, punti 45 ss.</w:t>
      </w:r>
    </w:p>
  </w:footnote>
  <w:footnote w:id="69">
    <w:p w14:paraId="059C5BE6" w14:textId="4FCBD249"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Statuto, art. 2: «[o]</w:t>
      </w:r>
      <w:proofErr w:type="spellStart"/>
      <w:r w:rsidRPr="00464DEB">
        <w:rPr>
          <w:szCs w:val="18"/>
        </w:rPr>
        <w:t>gni</w:t>
      </w:r>
      <w:proofErr w:type="spellEnd"/>
      <w:r w:rsidRPr="00464DEB">
        <w:rPr>
          <w:szCs w:val="18"/>
        </w:rPr>
        <w:t xml:space="preserve"> giudice, prima di assumere le proprie funzioni, deve, davanti alla Corte di giustizia in seduta pubblica, prestare giuramento di esercitare tali funzioni in piena imparzialità e secondo coscienza e di nulla divulgare del segreto delle deliberazioni».</w:t>
      </w:r>
    </w:p>
  </w:footnote>
  <w:footnote w:id="70">
    <w:p w14:paraId="0400E314" w14:textId="44FB74DB"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Pr>
          <w:szCs w:val="18"/>
        </w:rPr>
        <w:t xml:space="preserve">Si veda sul punto l’art. </w:t>
      </w:r>
      <w:r w:rsidRPr="00464DEB">
        <w:rPr>
          <w:szCs w:val="18"/>
        </w:rPr>
        <w:t>4 Statuto.</w:t>
      </w:r>
    </w:p>
  </w:footnote>
  <w:footnote w:id="71">
    <w:p w14:paraId="0AF2CC86" w14:textId="6F02B3C3"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Art. 253, terzo comma, TFUE e art. 9 </w:t>
      </w:r>
      <w:r w:rsidRPr="00853B2F">
        <w:rPr>
          <w:i/>
          <w:iCs/>
          <w:szCs w:val="18"/>
        </w:rPr>
        <w:t>bis</w:t>
      </w:r>
      <w:r w:rsidRPr="00464DEB">
        <w:rPr>
          <w:szCs w:val="18"/>
        </w:rPr>
        <w:t xml:space="preserve"> Statuto.</w:t>
      </w:r>
    </w:p>
  </w:footnote>
  <w:footnote w:id="72">
    <w:p w14:paraId="3747FE4D" w14:textId="54A4B6D3" w:rsidR="000E3D39" w:rsidRDefault="000E3D39">
      <w:pPr>
        <w:pStyle w:val="Testonotaapidipagina"/>
      </w:pPr>
      <w:r>
        <w:rPr>
          <w:rStyle w:val="Rimandonotaapidipagina"/>
        </w:rPr>
        <w:footnoteRef/>
      </w:r>
      <w:r w:rsidR="00651730" w:rsidRPr="00651730">
        <w:rPr>
          <w:vertAlign w:val="superscript"/>
        </w:rPr>
        <w:t> </w:t>
      </w:r>
      <w:r>
        <w:t xml:space="preserve">Corte </w:t>
      </w:r>
      <w:proofErr w:type="spellStart"/>
      <w:r w:rsidRPr="00413965">
        <w:t>giust</w:t>
      </w:r>
      <w:proofErr w:type="spellEnd"/>
      <w:r w:rsidRPr="00413965">
        <w:t>.</w:t>
      </w:r>
      <w:r w:rsidRPr="00651730">
        <w:rPr>
          <w:bCs/>
        </w:rPr>
        <w:t xml:space="preserve"> (Seduta plenaria) 30 settembre 2021, C- 130/19, </w:t>
      </w:r>
      <w:r w:rsidRPr="00651730">
        <w:rPr>
          <w:bCs/>
          <w:i/>
        </w:rPr>
        <w:t xml:space="preserve">Corte dei conti europea contro Karel </w:t>
      </w:r>
      <w:proofErr w:type="spellStart"/>
      <w:r w:rsidRPr="00651730">
        <w:rPr>
          <w:bCs/>
          <w:i/>
        </w:rPr>
        <w:t>Pinxten</w:t>
      </w:r>
      <w:proofErr w:type="spellEnd"/>
      <w:r w:rsidRPr="00651730">
        <w:rPr>
          <w:bCs/>
        </w:rPr>
        <w:t>.</w:t>
      </w:r>
    </w:p>
  </w:footnote>
  <w:footnote w:id="73">
    <w:p w14:paraId="47A9DA94" w14:textId="5205697A" w:rsidR="000E3D39" w:rsidRDefault="00651730">
      <w:pPr>
        <w:pStyle w:val="Testonotaapidipagina"/>
      </w:pPr>
      <w:r>
        <w:rPr>
          <w:rStyle w:val="Rimandonotaapidipagina"/>
        </w:rPr>
        <w:footnoteRef/>
      </w:r>
      <w:r w:rsidRPr="00651730">
        <w:rPr>
          <w:vertAlign w:val="superscript"/>
        </w:rPr>
        <w:t> </w:t>
      </w:r>
      <w:r w:rsidR="000E3D39">
        <w:t xml:space="preserve">Ciò è avvenuto, ad esempio, </w:t>
      </w:r>
      <w:r w:rsidR="000E3D39" w:rsidRPr="00413965">
        <w:t>nel caso del parere 2/13, del 18 dicembre 2014, sull’ade</w:t>
      </w:r>
      <w:r w:rsidR="000E3D39" w:rsidRPr="00413965">
        <w:softHyphen/>
        <w:t xml:space="preserve">sione dell’Unione alla </w:t>
      </w:r>
      <w:r w:rsidR="000E3D39">
        <w:t>CEDU</w:t>
      </w:r>
      <w:r w:rsidR="000E3D39" w:rsidRPr="00413965">
        <w:t>; della causa C</w:t>
      </w:r>
      <w:r>
        <w:t>-</w:t>
      </w:r>
      <w:r w:rsidR="000E3D39" w:rsidRPr="00413965">
        <w:t xml:space="preserve">621/18, </w:t>
      </w:r>
      <w:proofErr w:type="spellStart"/>
      <w:r w:rsidR="000E3D39" w:rsidRPr="00413965">
        <w:rPr>
          <w:i/>
        </w:rPr>
        <w:t>Wightman</w:t>
      </w:r>
      <w:proofErr w:type="spellEnd"/>
      <w:r w:rsidR="000E3D39" w:rsidRPr="00413965">
        <w:t xml:space="preserve">, decisa con sentenza del 18 dicembre 2018, in tema di revoca della notifica di uno Stato membro della volontà di recedere dall’Unione; della causa C–157/21, </w:t>
      </w:r>
      <w:r w:rsidR="000E3D39" w:rsidRPr="00413965">
        <w:rPr>
          <w:i/>
          <w:iCs/>
        </w:rPr>
        <w:t>Polonia e Ungheria c. Parlamento europeo e Consiglio</w:t>
      </w:r>
      <w:r w:rsidR="000E3D39" w:rsidRPr="00413965">
        <w:t>, decisa con sentenza del 16 febbraio 2022, riguardante la validità del Regolamento 2020/2092, recante il regime generale di condizionalità per la protezione del bilancio dell’Unione europea; della causa C</w:t>
      </w:r>
      <w:r>
        <w:t>-</w:t>
      </w:r>
      <w:r w:rsidR="000E3D39" w:rsidRPr="00413965">
        <w:t xml:space="preserve">470/21, </w:t>
      </w:r>
      <w:r w:rsidR="000E3D39" w:rsidRPr="00413965">
        <w:rPr>
          <w:i/>
        </w:rPr>
        <w:t xml:space="preserve">La Quadrature </w:t>
      </w:r>
      <w:proofErr w:type="spellStart"/>
      <w:r w:rsidR="000E3D39" w:rsidRPr="00413965">
        <w:rPr>
          <w:i/>
        </w:rPr>
        <w:t>du</w:t>
      </w:r>
      <w:proofErr w:type="spellEnd"/>
      <w:r w:rsidR="000E3D39" w:rsidRPr="00413965">
        <w:rPr>
          <w:i/>
        </w:rPr>
        <w:t xml:space="preserve"> Net</w:t>
      </w:r>
      <w:r w:rsidR="000E3D39" w:rsidRPr="009E5DD1">
        <w:rPr>
          <w:iCs/>
        </w:rPr>
        <w:t xml:space="preserve">, </w:t>
      </w:r>
      <w:r w:rsidR="000E3D39" w:rsidRPr="00413965">
        <w:t>decisa con sentenza del 30 aprile 2024, concernente i poteri di un’autorità amministrativa per la protezione dei diritti d’autore</w:t>
      </w:r>
      <w:r w:rsidR="000E3D39">
        <w:t>.</w:t>
      </w:r>
    </w:p>
  </w:footnote>
  <w:footnote w:id="74">
    <w:p w14:paraId="60156A68" w14:textId="72CAD488"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Art. 256, par. 1, TFUE.</w:t>
      </w:r>
    </w:p>
  </w:footnote>
  <w:footnote w:id="75">
    <w:p w14:paraId="66FA52B9" w14:textId="53CE0580"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L’art. 56, terzo comma, attribuisce agli Stati membri ed alle istituzioni dell’Unione la facoltà di proporre impugnazione anche qualora non siano intervenuti nella controversia dinanzi al Tribunale. Detta facoltà non opera per le cause relative a controversie tra l’Unione e i loro agenti.</w:t>
      </w:r>
    </w:p>
  </w:footnote>
  <w:footnote w:id="76">
    <w:p w14:paraId="55A6239D" w14:textId="5B01B95D" w:rsidR="000E3D39" w:rsidRPr="001D57B7" w:rsidRDefault="000E3D39" w:rsidP="00214E7A">
      <w:pPr>
        <w:pStyle w:val="Testonotaapidipagina"/>
        <w:rPr>
          <w:spacing w:val="-1"/>
          <w:szCs w:val="18"/>
        </w:rPr>
      </w:pPr>
      <w:r w:rsidRPr="001D57B7">
        <w:rPr>
          <w:rStyle w:val="Rimandonotaapidipagina"/>
          <w:spacing w:val="-1"/>
          <w:szCs w:val="18"/>
        </w:rPr>
        <w:footnoteRef/>
      </w:r>
      <w:r w:rsidRPr="001D57B7">
        <w:rPr>
          <w:spacing w:val="-1"/>
          <w:szCs w:val="18"/>
          <w:vertAlign w:val="superscript"/>
        </w:rPr>
        <w:t> </w:t>
      </w:r>
      <w:r w:rsidRPr="001D57B7">
        <w:rPr>
          <w:spacing w:val="-1"/>
          <w:szCs w:val="18"/>
        </w:rPr>
        <w:t xml:space="preserve">Va segnalato che questo meccanismo di “filtro” delle impugnazioni è stato di recente esteso alle sentenze del Tribunale adottate a seguito di ricorsi avverso decisioni di altre commissioni di ricorso indipendenti, nonché alle sentenze del Tribunale assunte in base a clausole compromissorie </w:t>
      </w:r>
      <w:r w:rsidRPr="001D57B7">
        <w:rPr>
          <w:i/>
          <w:iCs/>
          <w:spacing w:val="-1"/>
          <w:szCs w:val="18"/>
        </w:rPr>
        <w:t>ex</w:t>
      </w:r>
      <w:r w:rsidRPr="001D57B7">
        <w:rPr>
          <w:spacing w:val="-1"/>
          <w:szCs w:val="18"/>
        </w:rPr>
        <w:t xml:space="preserve"> art. 272 TFUE (cfr. l’art. 58 </w:t>
      </w:r>
      <w:r w:rsidRPr="001D57B7">
        <w:rPr>
          <w:i/>
          <w:iCs/>
          <w:spacing w:val="-1"/>
          <w:szCs w:val="18"/>
        </w:rPr>
        <w:t>bis</w:t>
      </w:r>
      <w:r w:rsidRPr="001D57B7">
        <w:rPr>
          <w:spacing w:val="-1"/>
          <w:szCs w:val="18"/>
        </w:rPr>
        <w:t xml:space="preserve"> Statuto, come modificato dal Regolamento 2024/2019).</w:t>
      </w:r>
    </w:p>
  </w:footnote>
  <w:footnote w:id="77">
    <w:p w14:paraId="2DB32FD0" w14:textId="6C231C6F"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ad es. Corte giust., 18 giugno 2020, C-702/18 P, </w:t>
      </w:r>
      <w:r w:rsidRPr="00853B2F">
        <w:rPr>
          <w:i/>
          <w:iCs/>
          <w:szCs w:val="18"/>
        </w:rPr>
        <w:t>PRIMART</w:t>
      </w:r>
      <w:r w:rsidRPr="00464DEB">
        <w:rPr>
          <w:szCs w:val="18"/>
        </w:rPr>
        <w:t xml:space="preserve">, con la quale la Corte ha annullato la sentenza del Tribunale per i motivi indicati all’art. 58 </w:t>
      </w:r>
      <w:r w:rsidRPr="00853B2F">
        <w:rPr>
          <w:i/>
          <w:iCs/>
          <w:szCs w:val="18"/>
        </w:rPr>
        <w:t>bis</w:t>
      </w:r>
      <w:r w:rsidRPr="00464DEB">
        <w:rPr>
          <w:szCs w:val="18"/>
        </w:rPr>
        <w:t xml:space="preserve"> dello Statuto.</w:t>
      </w:r>
    </w:p>
  </w:footnote>
  <w:footnote w:id="78">
    <w:p w14:paraId="30819D45" w14:textId="5FA780A0"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Si tratta della decisione del Consiglio del 24 ottobre 1988 (n. 88/591/CECA CEE </w:t>
      </w:r>
      <w:proofErr w:type="spellStart"/>
      <w:r w:rsidRPr="00464DEB">
        <w:rPr>
          <w:szCs w:val="18"/>
        </w:rPr>
        <w:t>Euratom</w:t>
      </w:r>
      <w:proofErr w:type="spellEnd"/>
      <w:r w:rsidRPr="00464DEB">
        <w:rPr>
          <w:szCs w:val="18"/>
        </w:rPr>
        <w:t xml:space="preserve"> in </w:t>
      </w:r>
      <w:r w:rsidRPr="00853B2F">
        <w:rPr>
          <w:i/>
          <w:szCs w:val="18"/>
        </w:rPr>
        <w:t>GUCE</w:t>
      </w:r>
      <w:r w:rsidRPr="00464DEB">
        <w:rPr>
          <w:szCs w:val="18"/>
        </w:rPr>
        <w:t xml:space="preserve"> del 25 novembre 1988, n. L 319), oggetto di numerose modifiche sino al trattato di Nizza, il cui art. 10 la ha abrogata. </w:t>
      </w:r>
    </w:p>
  </w:footnote>
  <w:footnote w:id="79">
    <w:p w14:paraId="1506B18B" w14:textId="6C4D691B"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il regolamento (UE, </w:t>
      </w:r>
      <w:proofErr w:type="spellStart"/>
      <w:r w:rsidRPr="00464DEB">
        <w:rPr>
          <w:szCs w:val="18"/>
        </w:rPr>
        <w:t>Euratom</w:t>
      </w:r>
      <w:proofErr w:type="spellEnd"/>
      <w:r w:rsidRPr="00464DEB">
        <w:rPr>
          <w:szCs w:val="18"/>
        </w:rPr>
        <w:t xml:space="preserve">) 2015/2422 del Parlamento europeo e del Consiglio, del 16 dicembre 2015 (in </w:t>
      </w:r>
      <w:r w:rsidRPr="00853B2F">
        <w:rPr>
          <w:i/>
          <w:iCs/>
          <w:szCs w:val="18"/>
        </w:rPr>
        <w:t>GUUE</w:t>
      </w:r>
      <w:r w:rsidRPr="00464DEB">
        <w:rPr>
          <w:szCs w:val="18"/>
        </w:rPr>
        <w:t xml:space="preserve"> del 24 dicembre 2015, n. L 341, p. 14), che ha previsto, </w:t>
      </w:r>
      <w:r w:rsidRPr="00853B2F">
        <w:rPr>
          <w:i/>
          <w:iCs/>
          <w:szCs w:val="18"/>
        </w:rPr>
        <w:t>inter alia</w:t>
      </w:r>
      <w:r w:rsidRPr="00464DEB">
        <w:rPr>
          <w:szCs w:val="18"/>
        </w:rPr>
        <w:t xml:space="preserve">, un progressivo aumento del numero di giudici del Tribunale; il regolamento (UE, </w:t>
      </w:r>
      <w:proofErr w:type="spellStart"/>
      <w:r w:rsidRPr="00464DEB">
        <w:rPr>
          <w:szCs w:val="18"/>
        </w:rPr>
        <w:t>Euratom</w:t>
      </w:r>
      <w:proofErr w:type="spellEnd"/>
      <w:r w:rsidRPr="00464DEB">
        <w:rPr>
          <w:szCs w:val="18"/>
        </w:rPr>
        <w:t xml:space="preserve">) 2016/1192 del Parlamento europeo e del Consiglio, del 6 luglio 2016, relativo al trasferimento al Tribunale della competenza a decidere, in primo grado, sulle controversie tra l’Unione europea e i suoi agenti (in </w:t>
      </w:r>
      <w:r w:rsidRPr="00853B2F">
        <w:rPr>
          <w:i/>
          <w:iCs/>
          <w:szCs w:val="18"/>
        </w:rPr>
        <w:t>GUUE</w:t>
      </w:r>
      <w:r w:rsidRPr="00464DEB">
        <w:rPr>
          <w:szCs w:val="18"/>
        </w:rPr>
        <w:t xml:space="preserve"> del 26 luglio 2016, n. L 200, p. 137); il regolamento (UE, </w:t>
      </w:r>
      <w:proofErr w:type="spellStart"/>
      <w:r w:rsidRPr="00464DEB">
        <w:rPr>
          <w:szCs w:val="18"/>
        </w:rPr>
        <w:t>Euratom</w:t>
      </w:r>
      <w:proofErr w:type="spellEnd"/>
      <w:r w:rsidRPr="00464DEB">
        <w:rPr>
          <w:szCs w:val="18"/>
        </w:rPr>
        <w:t xml:space="preserve">) 2019/629 del Parlamento europeo e del Consiglio, del 17 aprile 2019 (in </w:t>
      </w:r>
      <w:r w:rsidRPr="00853B2F">
        <w:rPr>
          <w:i/>
          <w:iCs/>
          <w:szCs w:val="18"/>
        </w:rPr>
        <w:t>GUUE</w:t>
      </w:r>
      <w:r w:rsidRPr="00464DEB">
        <w:rPr>
          <w:szCs w:val="18"/>
        </w:rPr>
        <w:t xml:space="preserve"> del 25 aprile 2019, n. L 111, p. 1), che ha introdotto, per alcune materie, un meccanismo di filtro delle impugnazioni delle decisioni del Tribunale dinanzi alla Corte.</w:t>
      </w:r>
    </w:p>
  </w:footnote>
  <w:footnote w:id="80">
    <w:p w14:paraId="6092ECE1" w14:textId="3BFF9AA6" w:rsidR="000E3D39" w:rsidRPr="00A846CA" w:rsidRDefault="000E3D39">
      <w:pPr>
        <w:pStyle w:val="Testonotaapidipagina"/>
        <w:rPr>
          <w:lang w:val="en-US"/>
        </w:rPr>
      </w:pPr>
      <w:r>
        <w:rPr>
          <w:rStyle w:val="Rimandonotaapidipagina"/>
        </w:rPr>
        <w:footnoteRef/>
      </w:r>
      <w:r w:rsidR="009E5DD1" w:rsidRPr="009E5DD1">
        <w:rPr>
          <w:vertAlign w:val="superscript"/>
          <w:lang w:val="en-US"/>
        </w:rPr>
        <w:t> </w:t>
      </w:r>
      <w:proofErr w:type="spellStart"/>
      <w:r w:rsidRPr="00A846CA">
        <w:rPr>
          <w:lang w:val="en-US"/>
        </w:rPr>
        <w:t>Cfr</w:t>
      </w:r>
      <w:proofErr w:type="spellEnd"/>
      <w:r w:rsidRPr="00A846CA">
        <w:rPr>
          <w:lang w:val="en-US"/>
        </w:rPr>
        <w:t xml:space="preserve">. </w:t>
      </w:r>
      <w:r w:rsidRPr="00A846CA">
        <w:rPr>
          <w:i/>
          <w:lang w:val="en-US"/>
        </w:rPr>
        <w:t>Seventh activity Report of the Panel provided by Article 255 TFUE</w:t>
      </w:r>
      <w:r w:rsidRPr="00A846CA">
        <w:rPr>
          <w:lang w:val="en-US"/>
        </w:rPr>
        <w:t xml:space="preserve">, </w:t>
      </w:r>
      <w:proofErr w:type="spellStart"/>
      <w:r w:rsidRPr="00A846CA">
        <w:rPr>
          <w:lang w:val="en-US"/>
        </w:rPr>
        <w:t>Lussemburgo</w:t>
      </w:r>
      <w:proofErr w:type="spellEnd"/>
      <w:r w:rsidRPr="00A846CA">
        <w:rPr>
          <w:lang w:val="en-US"/>
        </w:rPr>
        <w:t xml:space="preserve">, 2022, p. </w:t>
      </w:r>
      <w:r>
        <w:rPr>
          <w:lang w:val="en-US"/>
        </w:rPr>
        <w:t>20.</w:t>
      </w:r>
    </w:p>
  </w:footnote>
  <w:footnote w:id="81">
    <w:p w14:paraId="3685BF79" w14:textId="50B7E534"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Cfr. Regolamento (UE, </w:t>
      </w:r>
      <w:proofErr w:type="spellStart"/>
      <w:r w:rsidRPr="00464DEB">
        <w:rPr>
          <w:szCs w:val="18"/>
        </w:rPr>
        <w:t>Euratom</w:t>
      </w:r>
      <w:proofErr w:type="spellEnd"/>
      <w:r w:rsidRPr="00464DEB">
        <w:rPr>
          <w:szCs w:val="18"/>
        </w:rPr>
        <w:t xml:space="preserve">) 2015/2422 del Parlamento europeo e del Consiglio, del 16 dicembre 2015 (in </w:t>
      </w:r>
      <w:r w:rsidRPr="00853B2F">
        <w:rPr>
          <w:i/>
          <w:iCs/>
          <w:szCs w:val="18"/>
        </w:rPr>
        <w:t>GUUE</w:t>
      </w:r>
      <w:r w:rsidRPr="00464DEB">
        <w:rPr>
          <w:szCs w:val="18"/>
        </w:rPr>
        <w:t xml:space="preserve"> del 24 dicembre 2015, n. L 341, p. 14), che ha modificato in questo senso l’art. 48 Statuto. In realtà, per problemi legati ai ritardi nelle designazioni degli Stati membri e agli “incidenti di percorso” dovuti ai pareri negativi del Comitato 255, il numero di 54 giudici si è raggiunto molto più tardi rispetto alla data indicata dallo Statuto (1° settembre 2019), vale a dire il 15 settembre 2022 con la nomina degli ultimi tre giudici.</w:t>
      </w:r>
    </w:p>
  </w:footnote>
  <w:footnote w:id="82">
    <w:p w14:paraId="181F9A22" w14:textId="031A6B0E"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Cfr. Regolamento di modifica dello Statuto</w:t>
      </w:r>
      <w:r>
        <w:rPr>
          <w:szCs w:val="18"/>
        </w:rPr>
        <w:t xml:space="preserve"> n. 2024/2019</w:t>
      </w:r>
      <w:r w:rsidRPr="00464DEB">
        <w:rPr>
          <w:szCs w:val="18"/>
        </w:rPr>
        <w:t>, considerando n. 5.</w:t>
      </w:r>
    </w:p>
  </w:footnote>
  <w:footnote w:id="83">
    <w:p w14:paraId="57B8024A" w14:textId="0D009589"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Per quanto riguarda il periodo transitorio tra l’entrata in vigore del nuovo Regolamento </w:t>
      </w:r>
      <w:r>
        <w:rPr>
          <w:szCs w:val="18"/>
        </w:rPr>
        <w:t xml:space="preserve">di procedura </w:t>
      </w:r>
      <w:r w:rsidRPr="00464DEB">
        <w:rPr>
          <w:szCs w:val="18"/>
        </w:rPr>
        <w:t xml:space="preserve">del Tribunale </w:t>
      </w:r>
      <w:r>
        <w:rPr>
          <w:szCs w:val="18"/>
        </w:rPr>
        <w:t xml:space="preserve">(1° settembre 2024) </w:t>
      </w:r>
      <w:r w:rsidRPr="00464DEB">
        <w:rPr>
          <w:szCs w:val="18"/>
        </w:rPr>
        <w:t xml:space="preserve">e la data del rinnovo parziale della sua composizione (1° settembre 2025), il numero di A.G. è di </w:t>
      </w:r>
      <w:r>
        <w:rPr>
          <w:szCs w:val="18"/>
        </w:rPr>
        <w:t>due</w:t>
      </w:r>
      <w:r w:rsidRPr="00464DEB">
        <w:rPr>
          <w:szCs w:val="18"/>
        </w:rPr>
        <w:t>, più un supplente, ed il loro mandato scade in coincidenza del rinnovo parziale del Tribunale del 2025.</w:t>
      </w:r>
    </w:p>
  </w:footnote>
  <w:footnote w:id="84">
    <w:p w14:paraId="58B56865" w14:textId="4D95EA5E"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Dopo anni di mancato utilizzo di questa facoltà, il Tribunale ha deciso di pronunciarsi in </w:t>
      </w:r>
      <w:r>
        <w:rPr>
          <w:szCs w:val="18"/>
        </w:rPr>
        <w:t>G</w:t>
      </w:r>
      <w:r w:rsidRPr="00464DEB">
        <w:rPr>
          <w:szCs w:val="18"/>
        </w:rPr>
        <w:t xml:space="preserve">rande </w:t>
      </w:r>
      <w:r>
        <w:rPr>
          <w:szCs w:val="18"/>
        </w:rPr>
        <w:t>S</w:t>
      </w:r>
      <w:r w:rsidRPr="00464DEB">
        <w:rPr>
          <w:szCs w:val="18"/>
        </w:rPr>
        <w:t>ez</w:t>
      </w:r>
      <w:r>
        <w:rPr>
          <w:szCs w:val="18"/>
        </w:rPr>
        <w:t>.</w:t>
      </w:r>
      <w:r w:rsidRPr="00464DEB">
        <w:rPr>
          <w:szCs w:val="18"/>
        </w:rPr>
        <w:t xml:space="preserve"> nella causa T-125/22, </w:t>
      </w:r>
      <w:r w:rsidRPr="00853B2F">
        <w:rPr>
          <w:i/>
          <w:szCs w:val="18"/>
        </w:rPr>
        <w:t>RT France c. Consiglio</w:t>
      </w:r>
      <w:r w:rsidRPr="00464DEB">
        <w:rPr>
          <w:szCs w:val="18"/>
        </w:rPr>
        <w:t xml:space="preserve">, cit. e più di recente </w:t>
      </w:r>
      <w:r>
        <w:rPr>
          <w:szCs w:val="18"/>
        </w:rPr>
        <w:t xml:space="preserve">in altre cause tra cui la </w:t>
      </w:r>
      <w:r w:rsidRPr="00464DEB">
        <w:rPr>
          <w:szCs w:val="18"/>
        </w:rPr>
        <w:t xml:space="preserve">causa T-65/18 RENV, </w:t>
      </w:r>
      <w:r w:rsidRPr="00853B2F">
        <w:rPr>
          <w:i/>
          <w:iCs/>
          <w:szCs w:val="18"/>
        </w:rPr>
        <w:t>Venezuela c. Consiglio</w:t>
      </w:r>
      <w:r w:rsidRPr="00464DEB">
        <w:rPr>
          <w:szCs w:val="18"/>
        </w:rPr>
        <w:t>, decisa il 13 settembre 2023.</w:t>
      </w:r>
    </w:p>
  </w:footnote>
  <w:footnote w:id="85">
    <w:p w14:paraId="4BA29A6D" w14:textId="3A11DD5B"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lang w:val="da-DK"/>
        </w:rPr>
        <w:t> </w:t>
      </w:r>
      <w:r w:rsidRPr="00464DEB">
        <w:rPr>
          <w:snapToGrid w:val="0"/>
          <w:szCs w:val="18"/>
          <w:u w:color="000000"/>
          <w:lang w:val="da-DK"/>
        </w:rPr>
        <w:t xml:space="preserve">Cfr. art. 28, par. 1, reg. proc. </w:t>
      </w:r>
      <w:proofErr w:type="spellStart"/>
      <w:r w:rsidRPr="00464DEB">
        <w:rPr>
          <w:snapToGrid w:val="0"/>
          <w:szCs w:val="18"/>
          <w:u w:color="000000"/>
        </w:rPr>
        <w:t>Trib</w:t>
      </w:r>
      <w:proofErr w:type="spellEnd"/>
      <w:r w:rsidRPr="00464DEB">
        <w:rPr>
          <w:snapToGrid w:val="0"/>
          <w:szCs w:val="18"/>
          <w:u w:color="000000"/>
        </w:rPr>
        <w:t>.</w:t>
      </w:r>
    </w:p>
  </w:footnote>
  <w:footnote w:id="86">
    <w:p w14:paraId="5951D3E8" w14:textId="43289BEF"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L’attribuzione al giudice unico è esclusa per le cause che sollevino questioni di validità di un atto di portata generale (ad esempio, laddove l’invalidità sia fatta valere incidentalmente </w:t>
      </w:r>
      <w:r w:rsidRPr="00853B2F">
        <w:rPr>
          <w:i/>
          <w:szCs w:val="18"/>
        </w:rPr>
        <w:t>ex</w:t>
      </w:r>
      <w:r w:rsidRPr="00464DEB">
        <w:rPr>
          <w:szCs w:val="18"/>
        </w:rPr>
        <w:t xml:space="preserve"> art. 277 TFUE), nonché per le cause in materia di concorrenza e concentrazioni, in materia di aiuti di Stato, in materia di misure di difesa commerciale, in materia di organizzazione comune dei mercati agricoli e in materia di proprietà intellettuale. </w:t>
      </w:r>
    </w:p>
  </w:footnote>
  <w:footnote w:id="87">
    <w:p w14:paraId="7FF8AA66" w14:textId="0ED6CC26" w:rsidR="000E3D39" w:rsidRPr="00AC0E63" w:rsidRDefault="000E3D39">
      <w:pPr>
        <w:pStyle w:val="Testonotaapidipagina"/>
      </w:pPr>
      <w:r>
        <w:rPr>
          <w:rStyle w:val="Rimandonotaapidipagina"/>
        </w:rPr>
        <w:footnoteRef/>
      </w:r>
      <w:r w:rsidR="009E5DD1" w:rsidRPr="009E5DD1">
        <w:rPr>
          <w:vertAlign w:val="superscript"/>
          <w:lang w:val="de-DE"/>
        </w:rPr>
        <w:t> </w:t>
      </w:r>
      <w:proofErr w:type="spellStart"/>
      <w:r w:rsidRPr="00651730">
        <w:rPr>
          <w:lang w:val="de-DE"/>
        </w:rPr>
        <w:t>Cfr</w:t>
      </w:r>
      <w:proofErr w:type="spellEnd"/>
      <w:r w:rsidRPr="00651730">
        <w:rPr>
          <w:lang w:val="de-DE"/>
        </w:rPr>
        <w:t xml:space="preserve">. </w:t>
      </w:r>
      <w:proofErr w:type="spellStart"/>
      <w:r w:rsidRPr="00651730">
        <w:rPr>
          <w:lang w:val="de-DE"/>
        </w:rPr>
        <w:t>art</w:t>
      </w:r>
      <w:r w:rsidR="00476F21">
        <w:rPr>
          <w:lang w:val="de-DE"/>
        </w:rPr>
        <w:t>t</w:t>
      </w:r>
      <w:proofErr w:type="spellEnd"/>
      <w:r w:rsidRPr="00651730">
        <w:rPr>
          <w:lang w:val="de-DE"/>
        </w:rPr>
        <w:t xml:space="preserve">. 15 </w:t>
      </w:r>
      <w:r w:rsidRPr="00476F21">
        <w:rPr>
          <w:i/>
          <w:lang w:val="de-DE"/>
        </w:rPr>
        <w:t>bis</w:t>
      </w:r>
      <w:r w:rsidRPr="00651730">
        <w:rPr>
          <w:lang w:val="de-DE"/>
        </w:rPr>
        <w:t xml:space="preserve"> e 23 </w:t>
      </w:r>
      <w:r w:rsidRPr="00476F21">
        <w:rPr>
          <w:i/>
          <w:lang w:val="de-DE"/>
        </w:rPr>
        <w:t>bis</w:t>
      </w:r>
      <w:r w:rsidRPr="00651730">
        <w:rPr>
          <w:lang w:val="de-DE"/>
        </w:rPr>
        <w:t xml:space="preserve"> reg. </w:t>
      </w:r>
      <w:proofErr w:type="spellStart"/>
      <w:r w:rsidRPr="00651730">
        <w:rPr>
          <w:lang w:val="de-DE"/>
        </w:rPr>
        <w:t>proc</w:t>
      </w:r>
      <w:proofErr w:type="spellEnd"/>
      <w:r w:rsidRPr="00651730">
        <w:rPr>
          <w:lang w:val="de-DE"/>
        </w:rPr>
        <w:t xml:space="preserve">. </w:t>
      </w:r>
      <w:proofErr w:type="spellStart"/>
      <w:r w:rsidRPr="00AC0E63">
        <w:t>Trib</w:t>
      </w:r>
      <w:proofErr w:type="spellEnd"/>
      <w:r w:rsidRPr="00AC0E63">
        <w:t xml:space="preserve">., che fissano a nove il numero dei membri della </w:t>
      </w:r>
      <w:r w:rsidR="00307640">
        <w:t>S</w:t>
      </w:r>
      <w:r w:rsidRPr="00AC0E63">
        <w:t xml:space="preserve">ezione </w:t>
      </w:r>
      <w:r w:rsidR="00307640">
        <w:t>I</w:t>
      </w:r>
      <w:r w:rsidRPr="00AC0E63">
        <w:t>ntermedia ed indicano come president</w:t>
      </w:r>
      <w:r>
        <w:t>e</w:t>
      </w:r>
      <w:r w:rsidRPr="00AC0E63">
        <w:t xml:space="preserve"> il vice-presidente del Tribunale.</w:t>
      </w:r>
    </w:p>
  </w:footnote>
  <w:footnote w:id="88">
    <w:p w14:paraId="77B89252" w14:textId="132C1D98" w:rsidR="000E3D39" w:rsidRDefault="000E3D39">
      <w:pPr>
        <w:pStyle w:val="Testonotaapidipagina"/>
      </w:pPr>
      <w:r>
        <w:rPr>
          <w:rStyle w:val="Rimandonotaapidipagina"/>
        </w:rPr>
        <w:footnoteRef/>
      </w:r>
      <w:r w:rsidR="009E5DD1" w:rsidRPr="009E5DD1">
        <w:rPr>
          <w:vertAlign w:val="superscript"/>
        </w:rPr>
        <w:t> </w:t>
      </w:r>
      <w:r>
        <w:t>Il Tribunale ha deciso che le domande pregiudiziali saranno affidate, a partire dal 1° settembre 2025, a due sezioni. Queste continueranno tuttavia ad occuparsi, in parte, anche di ricorsi diretti.</w:t>
      </w:r>
    </w:p>
  </w:footnote>
  <w:footnote w:id="89">
    <w:p w14:paraId="4F40F110" w14:textId="2EE0CB2D"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F82CAE">
        <w:rPr>
          <w:szCs w:val="18"/>
        </w:rPr>
        <w:t xml:space="preserve">La medesima disposizione delinea la </w:t>
      </w:r>
      <w:r w:rsidRPr="00F82CAE">
        <w:rPr>
          <w:i/>
          <w:szCs w:val="18"/>
        </w:rPr>
        <w:t>procedura</w:t>
      </w:r>
      <w:r w:rsidRPr="00F82CAE">
        <w:rPr>
          <w:szCs w:val="18"/>
        </w:rPr>
        <w:t xml:space="preserve"> che deve essere seguita per la creazione di questi organismi, conferendo detto potere al Parlamento ed al Consiglio che deliberano con regolamenti adottati, secondo la procedura legislativa ordinaria, su proposta della Commissione e previa consultazione della Corte di giustizia, o su richiesta della Corte di giustizia e previa consultazione della Commissione</w:t>
      </w:r>
      <w:r w:rsidRPr="00F82CAE">
        <w:rPr>
          <w:szCs w:val="18"/>
          <w:vertAlign w:val="superscript"/>
        </w:rPr>
        <w:t> </w:t>
      </w:r>
    </w:p>
  </w:footnote>
  <w:footnote w:id="90">
    <w:p w14:paraId="6522CCA6" w14:textId="712A658A"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La procedura di riesame è disciplinata in dettaglio agli artt. da 62 a 62 </w:t>
      </w:r>
      <w:r w:rsidRPr="00853B2F">
        <w:rPr>
          <w:i/>
          <w:iCs/>
          <w:szCs w:val="18"/>
        </w:rPr>
        <w:t>ter</w:t>
      </w:r>
      <w:r w:rsidRPr="00464DEB">
        <w:rPr>
          <w:szCs w:val="18"/>
        </w:rPr>
        <w:t xml:space="preserve"> Statuto. L’inizia</w:t>
      </w:r>
      <w:r w:rsidR="00476F21">
        <w:rPr>
          <w:szCs w:val="18"/>
        </w:rPr>
        <w:softHyphen/>
      </w:r>
      <w:r w:rsidRPr="00464DEB">
        <w:rPr>
          <w:szCs w:val="18"/>
        </w:rPr>
        <w:t>tiva è affidata al primo A.G., che presenta la proposta di riesame alla Corte nel termine di un mese dalla pronuncia definitiva del Tribunale. Anche la decisione della Corte di accettare o meno di procedere al riesame è sottoposta ad un termine di un mese. Sia la proposta che la decisione della Corte non hanno effetto sospensivo sulla pronuncia del Tribunale. Qualora la Corte, al</w:t>
      </w:r>
      <w:r>
        <w:rPr>
          <w:szCs w:val="18"/>
        </w:rPr>
        <w:softHyphen/>
      </w:r>
      <w:r w:rsidRPr="00464DEB">
        <w:rPr>
          <w:szCs w:val="18"/>
        </w:rPr>
        <w:t>l’esito del riesame, constati che la decisione del Tribunale mette a rischio l’unità o la coerenza del diritto del</w:t>
      </w:r>
      <w:r w:rsidR="00476F21">
        <w:rPr>
          <w:szCs w:val="18"/>
        </w:rPr>
        <w:softHyphen/>
      </w:r>
      <w:r w:rsidRPr="00464DEB">
        <w:rPr>
          <w:szCs w:val="18"/>
        </w:rPr>
        <w:t>l’Unione, essa rinvia la causa al Tribunale per una nuova pronuncia, vincolata al rispetto dei punti di diritto indicati dalla Corte (per un esempio di sentenza di riesame v. Corte giust, 28 febbraio 2013, C</w:t>
      </w:r>
      <w:r w:rsidRPr="00464DEB">
        <w:rPr>
          <w:szCs w:val="18"/>
        </w:rPr>
        <w:noBreakHyphen/>
        <w:t>334/12 RX</w:t>
      </w:r>
      <w:r w:rsidRPr="00464DEB">
        <w:rPr>
          <w:szCs w:val="18"/>
        </w:rPr>
        <w:noBreakHyphen/>
        <w:t xml:space="preserve">II, </w:t>
      </w:r>
      <w:r w:rsidRPr="00853B2F">
        <w:rPr>
          <w:bCs/>
          <w:i/>
          <w:szCs w:val="18"/>
        </w:rPr>
        <w:t xml:space="preserve">Arango </w:t>
      </w:r>
      <w:proofErr w:type="spellStart"/>
      <w:r w:rsidRPr="00853B2F">
        <w:rPr>
          <w:bCs/>
          <w:i/>
          <w:szCs w:val="18"/>
        </w:rPr>
        <w:t>Jaramillo</w:t>
      </w:r>
      <w:proofErr w:type="spellEnd"/>
      <w:r w:rsidRPr="00853B2F">
        <w:rPr>
          <w:bCs/>
          <w:i/>
          <w:szCs w:val="18"/>
        </w:rPr>
        <w:t xml:space="preserve"> e a. c. BEI</w:t>
      </w:r>
      <w:r w:rsidRPr="00464DEB">
        <w:rPr>
          <w:bCs/>
          <w:szCs w:val="18"/>
        </w:rPr>
        <w:t>).</w:t>
      </w:r>
    </w:p>
  </w:footnote>
  <w:footnote w:id="91">
    <w:p w14:paraId="1A1404A7" w14:textId="19BC1FA2"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Per tale decisione istitutiva del Consiglio cfr. </w:t>
      </w:r>
      <w:r w:rsidRPr="00853B2F">
        <w:rPr>
          <w:i/>
          <w:szCs w:val="18"/>
        </w:rPr>
        <w:t>GUUE</w:t>
      </w:r>
      <w:r w:rsidRPr="00464DEB">
        <w:rPr>
          <w:szCs w:val="18"/>
        </w:rPr>
        <w:t xml:space="preserve"> del 9 novembre 2004, n. L 333, p. 7 ss. Per l’invito rivolto alla Corte di giustizia e alla Commissione ai fini della preparazione di un progetto di decisione sull’istituzione di una camera giurisdizionale competente in materia di contenzioso dei funzionari dell’Unione cfr. la dichiarazione n. 16 allegata al trattato di Nizza.</w:t>
      </w:r>
    </w:p>
  </w:footnote>
  <w:footnote w:id="92">
    <w:p w14:paraId="6B28B617" w14:textId="2CA0FCFA" w:rsidR="000E3D39" w:rsidRPr="00464DEB" w:rsidRDefault="000E3D39" w:rsidP="00214E7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In </w:t>
      </w:r>
      <w:r w:rsidRPr="00853B2F">
        <w:rPr>
          <w:i/>
          <w:szCs w:val="18"/>
        </w:rPr>
        <w:t>GUUE</w:t>
      </w:r>
      <w:r w:rsidRPr="00464DEB">
        <w:rPr>
          <w:szCs w:val="18"/>
        </w:rPr>
        <w:t xml:space="preserve"> del 28 luglio 2005, n. L 197, p. 28.</w:t>
      </w:r>
    </w:p>
  </w:footnote>
  <w:footnote w:id="93">
    <w:p w14:paraId="0B37F80A" w14:textId="5B71A011"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Regolamento (UE, </w:t>
      </w:r>
      <w:proofErr w:type="spellStart"/>
      <w:r w:rsidRPr="00464DEB">
        <w:rPr>
          <w:szCs w:val="18"/>
        </w:rPr>
        <w:t>Euratom</w:t>
      </w:r>
      <w:proofErr w:type="spellEnd"/>
      <w:r w:rsidRPr="00464DEB">
        <w:rPr>
          <w:szCs w:val="18"/>
        </w:rPr>
        <w:t xml:space="preserve">) 2016/1192 del Parlamento europeo e del Consiglio, del 6 luglio 2016, relativo al trasferimento al Tribunale della competenza a decidere, in primo grado, sulle controversie tra l’Unione europea e i suoi agenti (in </w:t>
      </w:r>
      <w:r w:rsidRPr="00853B2F">
        <w:rPr>
          <w:i/>
          <w:iCs/>
          <w:szCs w:val="18"/>
        </w:rPr>
        <w:t>GUUE</w:t>
      </w:r>
      <w:r w:rsidRPr="00464DEB">
        <w:rPr>
          <w:szCs w:val="18"/>
        </w:rPr>
        <w:t xml:space="preserve"> del 26 luglio 2016, n. L 200, p. 137).</w:t>
      </w:r>
    </w:p>
  </w:footnote>
  <w:footnote w:id="94">
    <w:p w14:paraId="55B55739" w14:textId="002D0852"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Corte </w:t>
      </w:r>
      <w:proofErr w:type="spellStart"/>
      <w:r w:rsidRPr="00464DEB">
        <w:rPr>
          <w:szCs w:val="18"/>
        </w:rPr>
        <w:t>giust</w:t>
      </w:r>
      <w:proofErr w:type="spellEnd"/>
      <w:r w:rsidRPr="00464DEB">
        <w:rPr>
          <w:szCs w:val="18"/>
        </w:rPr>
        <w:t>. (</w:t>
      </w:r>
      <w:proofErr w:type="spellStart"/>
      <w:r w:rsidRPr="00464DEB">
        <w:rPr>
          <w:szCs w:val="18"/>
        </w:rPr>
        <w:t>ord</w:t>
      </w:r>
      <w:proofErr w:type="spellEnd"/>
      <w:r w:rsidRPr="00464DEB">
        <w:rPr>
          <w:szCs w:val="18"/>
        </w:rPr>
        <w:t xml:space="preserve">.), 4 febbraio 2000, C-17/98, </w:t>
      </w:r>
      <w:proofErr w:type="spellStart"/>
      <w:r w:rsidRPr="00853B2F">
        <w:rPr>
          <w:i/>
          <w:iCs/>
          <w:szCs w:val="18"/>
        </w:rPr>
        <w:t>Emesa</w:t>
      </w:r>
      <w:proofErr w:type="spellEnd"/>
      <w:r w:rsidRPr="00464DEB">
        <w:rPr>
          <w:szCs w:val="18"/>
        </w:rPr>
        <w:t xml:space="preserve"> </w:t>
      </w:r>
      <w:r w:rsidRPr="00853B2F">
        <w:rPr>
          <w:i/>
          <w:iCs/>
          <w:szCs w:val="18"/>
        </w:rPr>
        <w:t>Sugar</w:t>
      </w:r>
      <w:r w:rsidRPr="00464DEB">
        <w:rPr>
          <w:szCs w:val="18"/>
        </w:rPr>
        <w:t>.</w:t>
      </w:r>
    </w:p>
  </w:footnote>
  <w:footnote w:id="95">
    <w:p w14:paraId="7878091E" w14:textId="072A8A18"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Per le successive conferme di questa giurisprudenza v. per tutte Corte giust. (Grande Sez</w:t>
      </w:r>
      <w:r>
        <w:rPr>
          <w:szCs w:val="18"/>
        </w:rPr>
        <w:t>.</w:t>
      </w:r>
      <w:r w:rsidRPr="00464DEB">
        <w:rPr>
          <w:szCs w:val="18"/>
        </w:rPr>
        <w:t xml:space="preserve">), 9 giugno 2022, C-673/20, </w:t>
      </w:r>
      <w:proofErr w:type="spellStart"/>
      <w:r w:rsidRPr="00853B2F">
        <w:rPr>
          <w:i/>
          <w:szCs w:val="18"/>
        </w:rPr>
        <w:t>Préfet</w:t>
      </w:r>
      <w:proofErr w:type="spellEnd"/>
      <w:r w:rsidRPr="00853B2F">
        <w:rPr>
          <w:i/>
          <w:szCs w:val="18"/>
        </w:rPr>
        <w:t xml:space="preserve"> </w:t>
      </w:r>
      <w:proofErr w:type="spellStart"/>
      <w:r w:rsidRPr="00853B2F">
        <w:rPr>
          <w:i/>
          <w:szCs w:val="18"/>
        </w:rPr>
        <w:t>du</w:t>
      </w:r>
      <w:proofErr w:type="spellEnd"/>
      <w:r w:rsidRPr="00853B2F">
        <w:rPr>
          <w:i/>
          <w:szCs w:val="18"/>
        </w:rPr>
        <w:t xml:space="preserve"> Gers</w:t>
      </w:r>
      <w:r w:rsidRPr="00464DEB">
        <w:rPr>
          <w:szCs w:val="18"/>
        </w:rPr>
        <w:t>, punti 40 ss.</w:t>
      </w:r>
    </w:p>
  </w:footnote>
  <w:footnote w:id="96">
    <w:p w14:paraId="68CB3E51" w14:textId="35054A1C" w:rsidR="000E3D39" w:rsidRDefault="000E3D39">
      <w:pPr>
        <w:pStyle w:val="Testonotaapidipagina"/>
      </w:pPr>
      <w:r>
        <w:rPr>
          <w:rStyle w:val="Rimandonotaapidipagina"/>
        </w:rPr>
        <w:footnoteRef/>
      </w:r>
      <w:r w:rsidR="00651730" w:rsidRPr="00651730">
        <w:rPr>
          <w:vertAlign w:val="superscript"/>
        </w:rPr>
        <w:t> </w:t>
      </w:r>
      <w:r w:rsidRPr="001F1A74">
        <w:t>Infine, ed in maniera da definire al momento la questione, in una sentenza del 20 gennaio 2009 (</w:t>
      </w:r>
      <w:r w:rsidRPr="001F1A74">
        <w:rPr>
          <w:i/>
        </w:rPr>
        <w:t xml:space="preserve">Cooperative </w:t>
      </w:r>
      <w:proofErr w:type="spellStart"/>
      <w:r w:rsidRPr="001F1A74">
        <w:rPr>
          <w:i/>
        </w:rPr>
        <w:t>Producentenorganisatie</w:t>
      </w:r>
      <w:proofErr w:type="spellEnd"/>
      <w:r w:rsidRPr="001F1A74">
        <w:rPr>
          <w:i/>
        </w:rPr>
        <w:t xml:space="preserve"> van de </w:t>
      </w:r>
      <w:proofErr w:type="spellStart"/>
      <w:r w:rsidRPr="001F1A74">
        <w:rPr>
          <w:i/>
        </w:rPr>
        <w:t>Nederlandse</w:t>
      </w:r>
      <w:proofErr w:type="spellEnd"/>
      <w:r w:rsidRPr="001F1A74">
        <w:rPr>
          <w:i/>
        </w:rPr>
        <w:t xml:space="preserve"> e a. c. Paesi Bassi</w:t>
      </w:r>
      <w:r w:rsidRPr="001F1A74">
        <w:t xml:space="preserve">) la Corte di Strasburgo ha sostenuto che l’impossibilità per le parti, in un procedimento dinanzi alla Corte di giustizia, di replicare alla conclusioni dell’A.G. non è elemento tale da mettere in discussione la “presunzione di equivalenza” del sistema comunitario di tutela dei diritti fondamentali rispetto a quello della CEDU, come inaugurata con la sentenza </w:t>
      </w:r>
      <w:proofErr w:type="spellStart"/>
      <w:r w:rsidRPr="001F1A74">
        <w:rPr>
          <w:i/>
        </w:rPr>
        <w:t>Bosphorus</w:t>
      </w:r>
      <w:proofErr w:type="spellEnd"/>
      <w:r w:rsidRPr="001F1A74">
        <w:t>, del 30 giugno 2005</w:t>
      </w:r>
      <w:r>
        <w:t>.</w:t>
      </w:r>
    </w:p>
  </w:footnote>
  <w:footnote w:id="97">
    <w:p w14:paraId="1FC4FF7F" w14:textId="61B9E826"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Come per i giudici della Corte, il numero degli A.G. è aumentato nel corso degli anni: fissato inizialmente a due (per convenzione, un francese ed un tedesco, mentre l’Italia otteneva contestualmente la presenza di un secondo giudice nella composizione della Corte), il numero è stato raddoppiato nel 1973, per passare a cinque nel 1981, sei nel 1986, nove dal 1995 all’ottobre del 2000, sino al numero attuale di undici.</w:t>
      </w:r>
    </w:p>
  </w:footnote>
  <w:footnote w:id="98">
    <w:p w14:paraId="6F79FEED" w14:textId="77777777"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Nella lista era compreso, prima della </w:t>
      </w:r>
      <w:r w:rsidRPr="00853B2F">
        <w:rPr>
          <w:i/>
          <w:iCs/>
          <w:szCs w:val="18"/>
        </w:rPr>
        <w:t>Brexit</w:t>
      </w:r>
      <w:r w:rsidRPr="00464DEB">
        <w:rPr>
          <w:szCs w:val="18"/>
        </w:rPr>
        <w:t xml:space="preserve">, anche il Regno Unito. Va rilevato che il tentativo dell’ultimo A.G. nominato su proposta del Regno Unito di rimanere in carica sino alla fine del mandato, nonostante la </w:t>
      </w:r>
      <w:r w:rsidRPr="00853B2F">
        <w:rPr>
          <w:i/>
          <w:iCs/>
          <w:szCs w:val="18"/>
        </w:rPr>
        <w:t>Brexit</w:t>
      </w:r>
      <w:r w:rsidRPr="00464DEB">
        <w:rPr>
          <w:szCs w:val="18"/>
        </w:rPr>
        <w:t>, in ragione di pretese diversità della figura dell’A.G. rispetto ai giudici della Corte non ha avuto successo: cfr. Corte giust. (</w:t>
      </w:r>
      <w:proofErr w:type="spellStart"/>
      <w:r w:rsidRPr="00464DEB">
        <w:rPr>
          <w:szCs w:val="18"/>
        </w:rPr>
        <w:t>ord</w:t>
      </w:r>
      <w:proofErr w:type="spellEnd"/>
      <w:r w:rsidRPr="00464DEB">
        <w:rPr>
          <w:szCs w:val="18"/>
        </w:rPr>
        <w:t xml:space="preserve">.), </w:t>
      </w:r>
      <w:r w:rsidRPr="00464DEB">
        <w:rPr>
          <w:bCs/>
          <w:szCs w:val="18"/>
        </w:rPr>
        <w:t xml:space="preserve">16 giugno 2021, C-685/20 P, </w:t>
      </w:r>
      <w:r w:rsidRPr="00853B2F">
        <w:rPr>
          <w:bCs/>
          <w:i/>
          <w:szCs w:val="18"/>
        </w:rPr>
        <w:t>Eleanor Sharpston c. Consiglio dell’Unione europea e rappresentanti dei governi degli Stati membri</w:t>
      </w:r>
      <w:r w:rsidRPr="00464DEB">
        <w:rPr>
          <w:bCs/>
          <w:szCs w:val="18"/>
        </w:rPr>
        <w:t xml:space="preserve">, che conferma </w:t>
      </w:r>
      <w:proofErr w:type="spellStart"/>
      <w:r w:rsidRPr="00464DEB">
        <w:rPr>
          <w:bCs/>
          <w:szCs w:val="18"/>
        </w:rPr>
        <w:t>Trib</w:t>
      </w:r>
      <w:proofErr w:type="spellEnd"/>
      <w:r w:rsidRPr="00464DEB">
        <w:rPr>
          <w:bCs/>
          <w:szCs w:val="18"/>
        </w:rPr>
        <w:t>. (</w:t>
      </w:r>
      <w:proofErr w:type="spellStart"/>
      <w:r w:rsidRPr="00464DEB">
        <w:rPr>
          <w:bCs/>
          <w:szCs w:val="18"/>
        </w:rPr>
        <w:t>ord</w:t>
      </w:r>
      <w:proofErr w:type="spellEnd"/>
      <w:r w:rsidRPr="00464DEB">
        <w:rPr>
          <w:bCs/>
          <w:szCs w:val="18"/>
        </w:rPr>
        <w:t>.), 6 ottobre 2020, T-550/20.</w:t>
      </w:r>
    </w:p>
  </w:footnote>
  <w:footnote w:id="99">
    <w:p w14:paraId="17FFDB57" w14:textId="6382514D"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V. ad es. Corte giust., 17 marzo 2011, C-221/09, </w:t>
      </w:r>
      <w:r w:rsidRPr="00853B2F">
        <w:rPr>
          <w:i/>
          <w:szCs w:val="18"/>
        </w:rPr>
        <w:t>AJD Tuna</w:t>
      </w:r>
      <w:r w:rsidRPr="00464DEB">
        <w:rPr>
          <w:szCs w:val="18"/>
        </w:rPr>
        <w:t xml:space="preserve">, punti 34 ss.; 11 luglio 2024, C-598/22, </w:t>
      </w:r>
      <w:r w:rsidRPr="00853B2F">
        <w:rPr>
          <w:i/>
          <w:szCs w:val="18"/>
        </w:rPr>
        <w:t>Società Italiana Imprese Balneari,</w:t>
      </w:r>
      <w:r w:rsidRPr="00464DEB">
        <w:rPr>
          <w:szCs w:val="18"/>
        </w:rPr>
        <w:t xml:space="preserve"> punti 30 ss.</w:t>
      </w:r>
    </w:p>
  </w:footnote>
  <w:footnote w:id="100">
    <w:p w14:paraId="1D7253DE" w14:textId="074D3B26"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853B2F">
        <w:rPr>
          <w:i/>
          <w:iCs/>
          <w:szCs w:val="18"/>
        </w:rPr>
        <w:t xml:space="preserve">Ex </w:t>
      </w:r>
      <w:proofErr w:type="spellStart"/>
      <w:r w:rsidRPr="00853B2F">
        <w:rPr>
          <w:i/>
          <w:iCs/>
          <w:szCs w:val="18"/>
        </w:rPr>
        <w:t>multis</w:t>
      </w:r>
      <w:proofErr w:type="spellEnd"/>
      <w:r w:rsidRPr="00464DEB">
        <w:rPr>
          <w:szCs w:val="18"/>
        </w:rPr>
        <w:t xml:space="preserve">, Corte </w:t>
      </w:r>
      <w:proofErr w:type="spellStart"/>
      <w:r w:rsidRPr="00464DEB">
        <w:rPr>
          <w:szCs w:val="18"/>
        </w:rPr>
        <w:t>giust</w:t>
      </w:r>
      <w:proofErr w:type="spellEnd"/>
      <w:r w:rsidRPr="00464DEB">
        <w:rPr>
          <w:szCs w:val="18"/>
        </w:rPr>
        <w:t>. (Grande Sez</w:t>
      </w:r>
      <w:r>
        <w:rPr>
          <w:szCs w:val="18"/>
        </w:rPr>
        <w:t>.</w:t>
      </w:r>
      <w:r w:rsidRPr="00464DEB">
        <w:rPr>
          <w:szCs w:val="18"/>
        </w:rPr>
        <w:t>), 25 ottobre 2017, C</w:t>
      </w:r>
      <w:r w:rsidRPr="00464DEB">
        <w:rPr>
          <w:szCs w:val="18"/>
        </w:rPr>
        <w:noBreakHyphen/>
        <w:t xml:space="preserve">106/16, </w:t>
      </w:r>
      <w:proofErr w:type="spellStart"/>
      <w:r w:rsidRPr="00853B2F">
        <w:rPr>
          <w:i/>
          <w:szCs w:val="18"/>
        </w:rPr>
        <w:t>Polbud</w:t>
      </w:r>
      <w:proofErr w:type="spellEnd"/>
      <w:r>
        <w:rPr>
          <w:i/>
          <w:szCs w:val="18"/>
        </w:rPr>
        <w:t xml:space="preserve"> – </w:t>
      </w:r>
      <w:proofErr w:type="spellStart"/>
      <w:r w:rsidRPr="00853B2F">
        <w:rPr>
          <w:i/>
          <w:szCs w:val="18"/>
        </w:rPr>
        <w:t>Wykonawstwo</w:t>
      </w:r>
      <w:proofErr w:type="spellEnd"/>
      <w:r w:rsidRPr="00464DEB">
        <w:rPr>
          <w:szCs w:val="18"/>
        </w:rPr>
        <w:t>, punto 24.</w:t>
      </w:r>
    </w:p>
  </w:footnote>
  <w:footnote w:id="101">
    <w:p w14:paraId="75A1153F" w14:textId="79B97843"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Per un esempio di riapertura della fase orale ai fini della presentazione di nuove conclusioni dell’A.G. v. Corte giust. (</w:t>
      </w:r>
      <w:proofErr w:type="spellStart"/>
      <w:r w:rsidRPr="00464DEB">
        <w:rPr>
          <w:szCs w:val="18"/>
        </w:rPr>
        <w:t>ord</w:t>
      </w:r>
      <w:proofErr w:type="spellEnd"/>
      <w:r w:rsidRPr="00464DEB">
        <w:rPr>
          <w:szCs w:val="18"/>
        </w:rPr>
        <w:t xml:space="preserve">.), (Grande </w:t>
      </w:r>
      <w:r>
        <w:rPr>
          <w:szCs w:val="18"/>
        </w:rPr>
        <w:t>S</w:t>
      </w:r>
      <w:r w:rsidRPr="00464DEB">
        <w:rPr>
          <w:szCs w:val="18"/>
        </w:rPr>
        <w:t>ez</w:t>
      </w:r>
      <w:r>
        <w:rPr>
          <w:szCs w:val="18"/>
        </w:rPr>
        <w:t>.</w:t>
      </w:r>
      <w:r w:rsidRPr="00464DEB">
        <w:rPr>
          <w:szCs w:val="18"/>
        </w:rPr>
        <w:t xml:space="preserve">), 21 ottobre 2005, C-475/03, </w:t>
      </w:r>
      <w:r w:rsidRPr="00853B2F">
        <w:rPr>
          <w:i/>
          <w:iCs/>
          <w:szCs w:val="18"/>
        </w:rPr>
        <w:t>Banca Popolare di Cremona.</w:t>
      </w:r>
    </w:p>
  </w:footnote>
  <w:footnote w:id="102">
    <w:p w14:paraId="14F848FA" w14:textId="1E781921" w:rsidR="000E3D39" w:rsidRPr="00464DEB" w:rsidRDefault="000E3D39" w:rsidP="00214E7A">
      <w:pPr>
        <w:pStyle w:val="Testonotaapidipagina"/>
        <w:rPr>
          <w:szCs w:val="18"/>
        </w:rPr>
      </w:pPr>
      <w:r w:rsidRPr="00464DEB">
        <w:rPr>
          <w:rStyle w:val="Rimandonotaapidipagina"/>
          <w:szCs w:val="18"/>
        </w:rPr>
        <w:footnoteRef/>
      </w:r>
      <w:r w:rsidR="009E5DD1" w:rsidRPr="009E5DD1">
        <w:rPr>
          <w:szCs w:val="18"/>
          <w:vertAlign w:val="superscript"/>
        </w:rPr>
        <w:t> </w:t>
      </w:r>
      <w:r w:rsidRPr="00464DEB">
        <w:rPr>
          <w:szCs w:val="18"/>
        </w:rPr>
        <w:t>«La Corte non è vincolata né a tali conclusioni né alle motivazioni attraverso le quali l’avvo</w:t>
      </w:r>
      <w:r>
        <w:rPr>
          <w:szCs w:val="18"/>
        </w:rPr>
        <w:softHyphen/>
      </w:r>
      <w:r w:rsidRPr="00464DEB">
        <w:rPr>
          <w:szCs w:val="18"/>
        </w:rPr>
        <w:t>cato generale giunge a formularle» (Corte giust., 22 novembre 2018, C</w:t>
      </w:r>
      <w:r w:rsidRPr="00464DEB">
        <w:rPr>
          <w:szCs w:val="18"/>
        </w:rPr>
        <w:noBreakHyphen/>
        <w:t xml:space="preserve">295/17, </w:t>
      </w:r>
      <w:r w:rsidRPr="00853B2F">
        <w:rPr>
          <w:i/>
          <w:szCs w:val="18"/>
        </w:rPr>
        <w:t xml:space="preserve">MEO – </w:t>
      </w:r>
      <w:proofErr w:type="spellStart"/>
      <w:r w:rsidRPr="00853B2F">
        <w:rPr>
          <w:i/>
          <w:szCs w:val="18"/>
        </w:rPr>
        <w:t>Serviços</w:t>
      </w:r>
      <w:proofErr w:type="spellEnd"/>
      <w:r w:rsidRPr="00853B2F">
        <w:rPr>
          <w:i/>
          <w:szCs w:val="18"/>
        </w:rPr>
        <w:t xml:space="preserve"> de </w:t>
      </w:r>
      <w:proofErr w:type="spellStart"/>
      <w:r w:rsidRPr="00853B2F">
        <w:rPr>
          <w:i/>
          <w:szCs w:val="18"/>
        </w:rPr>
        <w:t>Comunicações</w:t>
      </w:r>
      <w:proofErr w:type="spellEnd"/>
      <w:r w:rsidRPr="00853B2F">
        <w:rPr>
          <w:i/>
          <w:szCs w:val="18"/>
        </w:rPr>
        <w:t xml:space="preserve"> e </w:t>
      </w:r>
      <w:proofErr w:type="spellStart"/>
      <w:r w:rsidRPr="00853B2F">
        <w:rPr>
          <w:i/>
          <w:szCs w:val="18"/>
        </w:rPr>
        <w:t>Multimédia</w:t>
      </w:r>
      <w:proofErr w:type="spellEnd"/>
      <w:r w:rsidRPr="00853B2F">
        <w:rPr>
          <w:i/>
          <w:szCs w:val="18"/>
        </w:rPr>
        <w:t xml:space="preserve">, </w:t>
      </w:r>
      <w:r w:rsidRPr="00464DEB">
        <w:rPr>
          <w:szCs w:val="18"/>
        </w:rPr>
        <w:t>punto 25).</w:t>
      </w:r>
    </w:p>
  </w:footnote>
  <w:footnote w:id="103">
    <w:p w14:paraId="48DA6E25" w14:textId="2215CEA3" w:rsidR="000E3D39" w:rsidRPr="00464DEB" w:rsidRDefault="000E3D39" w:rsidP="00707972">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È questo ad es. il caso delle conclusioni dell’A.G. Saggio, del 7 ottobre 1999 nelle cause riunite </w:t>
      </w:r>
      <w:proofErr w:type="spellStart"/>
      <w:r w:rsidRPr="00853B2F">
        <w:rPr>
          <w:i/>
          <w:szCs w:val="18"/>
        </w:rPr>
        <w:t>Gabalfrisa</w:t>
      </w:r>
      <w:proofErr w:type="spellEnd"/>
      <w:r w:rsidRPr="00853B2F">
        <w:rPr>
          <w:i/>
          <w:szCs w:val="18"/>
        </w:rPr>
        <w:t xml:space="preserve"> e a.</w:t>
      </w:r>
      <w:r w:rsidRPr="00464DEB">
        <w:rPr>
          <w:szCs w:val="18"/>
        </w:rPr>
        <w:t xml:space="preserve"> (da C</w:t>
      </w:r>
      <w:r w:rsidRPr="00464DEB">
        <w:rPr>
          <w:szCs w:val="18"/>
        </w:rPr>
        <w:noBreakHyphen/>
        <w:t>110/98 a C</w:t>
      </w:r>
      <w:r w:rsidRPr="00464DEB">
        <w:rPr>
          <w:szCs w:val="18"/>
        </w:rPr>
        <w:noBreakHyphen/>
        <w:t xml:space="preserve">147/98, definite con sentenze del 21 marzo 2000). In quell’occasione, la Corte ha, diversamente da quanto proposto dall’A.G., deciso che i </w:t>
      </w:r>
      <w:proofErr w:type="spellStart"/>
      <w:r w:rsidRPr="00464DEB">
        <w:rPr>
          <w:szCs w:val="18"/>
        </w:rPr>
        <w:t>Tribunales</w:t>
      </w:r>
      <w:proofErr w:type="spellEnd"/>
      <w:r w:rsidRPr="00464DEB">
        <w:rPr>
          <w:szCs w:val="18"/>
        </w:rPr>
        <w:t xml:space="preserve"> </w:t>
      </w:r>
      <w:proofErr w:type="spellStart"/>
      <w:r w:rsidRPr="00464DEB">
        <w:rPr>
          <w:szCs w:val="18"/>
        </w:rPr>
        <w:t>Económico-Administrativo</w:t>
      </w:r>
      <w:proofErr w:type="spellEnd"/>
      <w:r w:rsidRPr="00464DEB">
        <w:rPr>
          <w:szCs w:val="18"/>
        </w:rPr>
        <w:t xml:space="preserve"> </w:t>
      </w:r>
      <w:proofErr w:type="spellStart"/>
      <w:r w:rsidRPr="00464DEB">
        <w:rPr>
          <w:szCs w:val="18"/>
        </w:rPr>
        <w:t>Regionales</w:t>
      </w:r>
      <w:proofErr w:type="spellEnd"/>
      <w:r w:rsidRPr="00464DEB">
        <w:rPr>
          <w:szCs w:val="18"/>
        </w:rPr>
        <w:t xml:space="preserve">, entità spagnole che operano al confine tra l’attività giurisdizionale e quella amministrativa, fossero degli “organi giurisdizionali” abilitati ad operare il rinvio pregiudiziale alla Corte di giustizia. Nella successiva causa </w:t>
      </w:r>
      <w:r w:rsidRPr="00853B2F">
        <w:rPr>
          <w:i/>
          <w:iCs/>
          <w:szCs w:val="18"/>
        </w:rPr>
        <w:t>Banco Santander</w:t>
      </w:r>
      <w:r w:rsidRPr="00464DEB">
        <w:rPr>
          <w:szCs w:val="18"/>
        </w:rPr>
        <w:t xml:space="preserve"> (C-274/14, sentenza del 21 gennaio 2020), su proposta dell’A.G. Hogan che riprendeva i dubbi avanzati nelle precedenti conclusioni in merito all’indipendenza dei </w:t>
      </w:r>
      <w:proofErr w:type="spellStart"/>
      <w:r w:rsidRPr="00464DEB">
        <w:rPr>
          <w:szCs w:val="18"/>
        </w:rPr>
        <w:t>Tribunales</w:t>
      </w:r>
      <w:proofErr w:type="spellEnd"/>
      <w:r w:rsidRPr="00464DEB">
        <w:rPr>
          <w:szCs w:val="18"/>
        </w:rPr>
        <w:t xml:space="preserve"> rispetto all’amministrazione spagnola, la Corte ha modificato radicalmente questa posizione, escludendo la natura giurisdizionale delle medesime entità e dichiarando quindi irricevibili i quesiti pregiudiziali posti dal </w:t>
      </w:r>
      <w:proofErr w:type="spellStart"/>
      <w:r w:rsidRPr="00464DEB">
        <w:rPr>
          <w:rFonts w:cs="Arial"/>
          <w:bCs/>
          <w:szCs w:val="18"/>
        </w:rPr>
        <w:t>Tribunal</w:t>
      </w:r>
      <w:proofErr w:type="spellEnd"/>
      <w:r w:rsidRPr="00464DEB">
        <w:rPr>
          <w:rFonts w:cs="Arial"/>
          <w:bCs/>
          <w:szCs w:val="18"/>
        </w:rPr>
        <w:t xml:space="preserve"> </w:t>
      </w:r>
      <w:proofErr w:type="spellStart"/>
      <w:r w:rsidRPr="00464DEB">
        <w:rPr>
          <w:rFonts w:cs="Arial"/>
          <w:bCs/>
          <w:szCs w:val="18"/>
        </w:rPr>
        <w:t>Económico</w:t>
      </w:r>
      <w:r w:rsidRPr="00464DEB">
        <w:rPr>
          <w:rFonts w:cs="Arial"/>
          <w:szCs w:val="18"/>
        </w:rPr>
        <w:noBreakHyphen/>
      </w:r>
      <w:r w:rsidRPr="00464DEB">
        <w:rPr>
          <w:rFonts w:cs="Arial"/>
          <w:bCs/>
          <w:szCs w:val="18"/>
        </w:rPr>
        <w:t>Administrativo</w:t>
      </w:r>
      <w:proofErr w:type="spellEnd"/>
      <w:r w:rsidRPr="00464DEB">
        <w:rPr>
          <w:rFonts w:cs="Arial"/>
          <w:bCs/>
          <w:szCs w:val="18"/>
        </w:rPr>
        <w:t xml:space="preserve"> Central.</w:t>
      </w:r>
    </w:p>
  </w:footnote>
  <w:footnote w:id="104">
    <w:p w14:paraId="1AB5146A" w14:textId="0CC26C2A" w:rsidR="000E3D39" w:rsidRDefault="000E3D39" w:rsidP="00AF1BDB">
      <w:pPr>
        <w:pStyle w:val="Testonotaapidipagina"/>
      </w:pPr>
      <w:r>
        <w:rPr>
          <w:rStyle w:val="Rimandonotaapidipagina"/>
        </w:rPr>
        <w:footnoteRef/>
      </w:r>
      <w:r w:rsidR="009E5DD1" w:rsidRPr="009E5DD1">
        <w:rPr>
          <w:vertAlign w:val="superscript"/>
        </w:rPr>
        <w:t> </w:t>
      </w:r>
      <w:r>
        <w:t>Una</w:t>
      </w:r>
      <w:r w:rsidRPr="00D15290">
        <w:t xml:space="preserve"> menzione a parte merita il ruolo attribuito all’A.G. nell’ambito di alcuni procedimenti speciali che si svolgono dinanzi alla Corte di giustizia. Detto ruolo, comunque finalizzato a coadiuvare la Corte nello svolgimento delle funzioni giurisdizionali, diverge da quello svolto “a regime” in ragione delle peculiarità dei procedimenti speciali in questione. Ad esempio, nei procedimenti pregiudiziali che si concludono con ordinanza motivata ai sensi dell’art. 99 reg. proc. Corte, l’A.G. viene solamente sentito sia sull’opportunità di far ricorso al procedimento speciale, sia in merito alla decisione della Corte di chiudere la procedura senza fase orale in quanto: a) la soluzione della causa si desume chiaramente dalla precedente giurisprudenza, ovvero b) la soluzione della questione pregiudiziale non dà adito a dubbi ragionevoli. Più complesso è il caso dei procedimenti abbreviati disciplinati agli artt. 105 e ss. (proc. accelerato) e 107 e ss. (proc. d’urgenza) del Regolamento di procedura. Se anche in questi casi, per motivi di celerità inerenti alle procedure in questione, il reg. proc. dispone che l’A.G. debba essere solo “sentito”, in ragione dell’importanza e della complessità di alcune di queste procedure è invalsa la prassi di consentire al</w:t>
      </w:r>
      <w:r w:rsidRPr="00D15290">
        <w:softHyphen/>
        <w:t>l’A.G. di scegliere se esprimere la sua posizione oralmente in udienza o per iscritto. In quest’ultimo caso, l’analisi dell’A.G., originariamente denominata “presa di posizione”</w:t>
      </w:r>
      <w:r w:rsidR="009E5DD1" w:rsidRPr="009E5DD1">
        <w:t xml:space="preserve"> </w:t>
      </w:r>
      <w:r w:rsidRPr="00D15290">
        <w:t>e successivamente anch’essa “conclusioni”, viene pubblicata e nella sostanza non differisce di molto – se non nelle dimensioni, comprensibilmente più ridotte – dalle conclusioni adottate nei procedimenti ordinari.</w:t>
      </w:r>
    </w:p>
  </w:footnote>
  <w:footnote w:id="105">
    <w:p w14:paraId="646C9F7D" w14:textId="544E7C09" w:rsidR="000E3D39" w:rsidRPr="00464DEB" w:rsidRDefault="000E3D39" w:rsidP="00707972">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Cfr. l’art. 49 Statuto, che stabilisce che «[i] membri del Tribunale possono essere chiamati ad esercitare le funzioni di avvocato generale. [...] I criteri per la determinazione [delle cause in cui l’avvocato generale può essere chiamato a presentare conclusioni motivate], nonché le modalità di designazione degli avvocati generali sono stabiliti dal regolamento di procedura del Tribunale. Un membro chiamato ad esercitare le funzioni di avvocato generale in una causa non può prendere parte alla decisione di detta causa»; e gli artt. 30 e 31 </w:t>
      </w:r>
      <w:r w:rsidR="00466935">
        <w:rPr>
          <w:szCs w:val="18"/>
        </w:rPr>
        <w:t xml:space="preserve">reg. proc. </w:t>
      </w:r>
      <w:proofErr w:type="spellStart"/>
      <w:r w:rsidR="00466935">
        <w:rPr>
          <w:szCs w:val="18"/>
        </w:rPr>
        <w:t>Trib</w:t>
      </w:r>
      <w:proofErr w:type="spellEnd"/>
      <w:r w:rsidR="00466935">
        <w:rPr>
          <w:szCs w:val="18"/>
        </w:rPr>
        <w:t>.</w:t>
      </w:r>
      <w:r w:rsidRPr="00464DEB">
        <w:rPr>
          <w:szCs w:val="18"/>
        </w:rPr>
        <w:t>: il primo prevede che «Il Tribunale può essere assistito da un avvocato generale se ritiene che lo esigano la difficoltà in diritto o la complessità in fatto della causa»; il secondo, dedicato alle «Modalità di designazione di un avvocato generale», precisa che la decisione di procedere alla designazione di un A.G. per una determinata causa è presa dalla conferenza plenaria su domanda della sezione alla quale la causa è stata attribuita o dinanzi alla quale è stata rimessa. Il presidente del Tribunale designa il giudice che esercita le funzioni di A.G. nella causa suddetta.</w:t>
      </w:r>
    </w:p>
  </w:footnote>
  <w:footnote w:id="106">
    <w:p w14:paraId="125E105B" w14:textId="32130AE5" w:rsidR="000E3D39" w:rsidRPr="00464DEB" w:rsidRDefault="000E3D39" w:rsidP="00214E7A">
      <w:pPr>
        <w:pStyle w:val="Testonotaapidipagina"/>
        <w:rPr>
          <w:szCs w:val="18"/>
        </w:rPr>
      </w:pPr>
      <w:r w:rsidRPr="00557599">
        <w:rPr>
          <w:rStyle w:val="Rimandonotaapidipagina"/>
          <w:szCs w:val="18"/>
        </w:rPr>
        <w:footnoteRef/>
      </w:r>
      <w:r>
        <w:rPr>
          <w:szCs w:val="18"/>
          <w:vertAlign w:val="superscript"/>
        </w:rPr>
        <w:t> </w:t>
      </w:r>
      <w:r w:rsidRPr="00464DEB">
        <w:rPr>
          <w:szCs w:val="18"/>
        </w:rPr>
        <w:t xml:space="preserve">Si tratta delle cause T-1/89, </w:t>
      </w:r>
      <w:proofErr w:type="spellStart"/>
      <w:r w:rsidRPr="00853B2F">
        <w:rPr>
          <w:i/>
          <w:szCs w:val="18"/>
        </w:rPr>
        <w:t>Rhone</w:t>
      </w:r>
      <w:proofErr w:type="spellEnd"/>
      <w:r w:rsidRPr="00853B2F">
        <w:rPr>
          <w:i/>
          <w:szCs w:val="18"/>
        </w:rPr>
        <w:t xml:space="preserve"> Poulenc c. Commissione</w:t>
      </w:r>
      <w:r w:rsidRPr="00464DEB">
        <w:rPr>
          <w:szCs w:val="18"/>
        </w:rPr>
        <w:t xml:space="preserve"> (peraltro la prima causa depositata alla cancelleria del Tribunale); T-51/89, </w:t>
      </w:r>
      <w:r w:rsidRPr="00853B2F">
        <w:rPr>
          <w:i/>
          <w:szCs w:val="18"/>
        </w:rPr>
        <w:t xml:space="preserve">Tetra Pak </w:t>
      </w:r>
      <w:proofErr w:type="spellStart"/>
      <w:r w:rsidRPr="00853B2F">
        <w:rPr>
          <w:i/>
          <w:szCs w:val="18"/>
        </w:rPr>
        <w:t>Rausing</w:t>
      </w:r>
      <w:proofErr w:type="spellEnd"/>
      <w:r w:rsidRPr="00853B2F">
        <w:rPr>
          <w:i/>
          <w:szCs w:val="18"/>
        </w:rPr>
        <w:t xml:space="preserve"> c. Commissione</w:t>
      </w:r>
      <w:r w:rsidRPr="00464DEB">
        <w:rPr>
          <w:szCs w:val="18"/>
        </w:rPr>
        <w:t xml:space="preserve">; T-120/89, </w:t>
      </w:r>
      <w:proofErr w:type="spellStart"/>
      <w:r w:rsidRPr="004050C9">
        <w:rPr>
          <w:i/>
          <w:szCs w:val="18"/>
        </w:rPr>
        <w:t>Stahlwerke</w:t>
      </w:r>
      <w:proofErr w:type="spellEnd"/>
      <w:r w:rsidRPr="004050C9">
        <w:rPr>
          <w:i/>
          <w:szCs w:val="18"/>
        </w:rPr>
        <w:t xml:space="preserve"> </w:t>
      </w:r>
      <w:proofErr w:type="spellStart"/>
      <w:r w:rsidRPr="004050C9">
        <w:rPr>
          <w:i/>
          <w:szCs w:val="18"/>
        </w:rPr>
        <w:t>Peine</w:t>
      </w:r>
      <w:proofErr w:type="spellEnd"/>
      <w:r w:rsidRPr="004050C9">
        <w:rPr>
          <w:i/>
          <w:szCs w:val="18"/>
        </w:rPr>
        <w:t>-Salzgitter c.</w:t>
      </w:r>
      <w:r w:rsidRPr="00853B2F">
        <w:rPr>
          <w:i/>
          <w:szCs w:val="18"/>
        </w:rPr>
        <w:t xml:space="preserve"> Commissione</w:t>
      </w:r>
      <w:r w:rsidRPr="00464DEB">
        <w:rPr>
          <w:szCs w:val="18"/>
        </w:rPr>
        <w:t xml:space="preserve">; T-24/90, </w:t>
      </w:r>
      <w:proofErr w:type="spellStart"/>
      <w:r w:rsidRPr="00464DEB">
        <w:rPr>
          <w:szCs w:val="18"/>
        </w:rPr>
        <w:t>A</w:t>
      </w:r>
      <w:r w:rsidRPr="00853B2F">
        <w:rPr>
          <w:i/>
          <w:szCs w:val="18"/>
        </w:rPr>
        <w:t>utomec</w:t>
      </w:r>
      <w:proofErr w:type="spellEnd"/>
      <w:r w:rsidRPr="00853B2F">
        <w:rPr>
          <w:i/>
          <w:szCs w:val="18"/>
        </w:rPr>
        <w:t xml:space="preserve"> c. Commissione</w:t>
      </w:r>
      <w:r w:rsidRPr="00464DEB">
        <w:rPr>
          <w:szCs w:val="18"/>
        </w:rPr>
        <w:t>.</w:t>
      </w:r>
    </w:p>
  </w:footnote>
  <w:footnote w:id="107">
    <w:p w14:paraId="31504150" w14:textId="1BDAC6BC" w:rsidR="000E3D39" w:rsidRPr="00464DEB" w:rsidRDefault="000E3D39" w:rsidP="00214E7A">
      <w:pPr>
        <w:pStyle w:val="Testonotaapidipagina"/>
        <w:rPr>
          <w:snapToGrid w:val="0"/>
          <w:szCs w:val="18"/>
        </w:rPr>
      </w:pPr>
      <w:r w:rsidRPr="00557599">
        <w:rPr>
          <w:rStyle w:val="Rimandonotaapidipagina"/>
          <w:szCs w:val="18"/>
        </w:rPr>
        <w:footnoteRef/>
      </w:r>
      <w:r>
        <w:rPr>
          <w:szCs w:val="18"/>
          <w:vertAlign w:val="superscript"/>
        </w:rPr>
        <w:t> </w:t>
      </w:r>
      <w:r w:rsidRPr="00464DEB">
        <w:rPr>
          <w:snapToGrid w:val="0"/>
          <w:szCs w:val="18"/>
        </w:rPr>
        <w:t xml:space="preserve">Art. 49 </w:t>
      </w:r>
      <w:r w:rsidRPr="00853B2F">
        <w:rPr>
          <w:i/>
          <w:iCs/>
          <w:snapToGrid w:val="0"/>
          <w:szCs w:val="18"/>
        </w:rPr>
        <w:t>bis</w:t>
      </w:r>
      <w:r w:rsidRPr="00464DEB">
        <w:rPr>
          <w:snapToGrid w:val="0"/>
          <w:szCs w:val="18"/>
        </w:rPr>
        <w:t xml:space="preserve">, primo comma, Statuto: </w:t>
      </w:r>
      <w:r w:rsidR="00D313CF">
        <w:rPr>
          <w:snapToGrid w:val="0"/>
          <w:szCs w:val="18"/>
        </w:rPr>
        <w:t>«</w:t>
      </w:r>
      <w:r w:rsidRPr="00464DEB">
        <w:rPr>
          <w:snapToGrid w:val="0"/>
          <w:szCs w:val="18"/>
        </w:rPr>
        <w:t xml:space="preserve">Il Tribunale è assistito da uno o più avvocati generali nel trattamento delle domande pregiudiziali che gli sono trasmesse a norma dell’art. 50 </w:t>
      </w:r>
      <w:r w:rsidRPr="00853B2F">
        <w:rPr>
          <w:i/>
          <w:iCs/>
          <w:snapToGrid w:val="0"/>
          <w:szCs w:val="18"/>
        </w:rPr>
        <w:t>ter</w:t>
      </w:r>
      <w:r w:rsidR="00D313CF">
        <w:rPr>
          <w:iCs/>
          <w:snapToGrid w:val="0"/>
          <w:szCs w:val="18"/>
        </w:rPr>
        <w:t>»</w:t>
      </w:r>
      <w:r w:rsidRPr="00464DEB">
        <w:rPr>
          <w:snapToGrid w:val="0"/>
          <w:szCs w:val="18"/>
        </w:rPr>
        <w:t>.</w:t>
      </w:r>
    </w:p>
  </w:footnote>
  <w:footnote w:id="108">
    <w:p w14:paraId="4E297F9C" w14:textId="7AED128E" w:rsidR="000E3D39" w:rsidRPr="00E80D45" w:rsidRDefault="000E3D39" w:rsidP="00214E7A">
      <w:pPr>
        <w:pStyle w:val="Testonotaapidipagina"/>
        <w:rPr>
          <w:spacing w:val="-1"/>
          <w:szCs w:val="18"/>
        </w:rPr>
      </w:pPr>
      <w:r w:rsidRPr="00E80D45">
        <w:rPr>
          <w:rStyle w:val="Rimandonotaapidipagina"/>
          <w:snapToGrid w:val="0"/>
          <w:spacing w:val="-1"/>
          <w:szCs w:val="18"/>
          <w:u w:color="000000"/>
        </w:rPr>
        <w:footnoteRef/>
      </w:r>
      <w:r w:rsidRPr="00E80D45">
        <w:rPr>
          <w:snapToGrid w:val="0"/>
          <w:spacing w:val="-1"/>
          <w:szCs w:val="18"/>
          <w:u w:color="000000"/>
          <w:vertAlign w:val="superscript"/>
        </w:rPr>
        <w:t> </w:t>
      </w:r>
      <w:r w:rsidRPr="00E80D45">
        <w:rPr>
          <w:snapToGrid w:val="0"/>
          <w:spacing w:val="-1"/>
          <w:szCs w:val="18"/>
        </w:rPr>
        <w:t xml:space="preserve">Ai sensi dell’art. 12 Statuto, infatti, i funzionari e gli agenti «dipendono dal cancelliere sotto l’autorità del presidente». </w:t>
      </w:r>
      <w:r w:rsidRPr="00E80D45">
        <w:rPr>
          <w:spacing w:val="-1"/>
          <w:szCs w:val="18"/>
        </w:rPr>
        <w:t xml:space="preserve">Precisa in proposito l’art. 23 del </w:t>
      </w:r>
      <w:r w:rsidR="00D313CF">
        <w:rPr>
          <w:spacing w:val="-1"/>
          <w:szCs w:val="18"/>
        </w:rPr>
        <w:t xml:space="preserve">reg. proc. </w:t>
      </w:r>
      <w:r w:rsidRPr="00E80D45">
        <w:rPr>
          <w:spacing w:val="-1"/>
          <w:szCs w:val="18"/>
        </w:rPr>
        <w:t>Corte che «all’ammi</w:t>
      </w:r>
      <w:r w:rsidR="00AF1BDB">
        <w:rPr>
          <w:spacing w:val="-1"/>
          <w:szCs w:val="18"/>
        </w:rPr>
        <w:softHyphen/>
      </w:r>
      <w:r w:rsidRPr="00E80D45">
        <w:rPr>
          <w:spacing w:val="-1"/>
          <w:szCs w:val="18"/>
        </w:rPr>
        <w:t>ni</w:t>
      </w:r>
      <w:r w:rsidR="00AF1BDB">
        <w:rPr>
          <w:spacing w:val="-1"/>
          <w:szCs w:val="18"/>
        </w:rPr>
        <w:softHyphen/>
      </w:r>
      <w:r w:rsidRPr="00E80D45">
        <w:rPr>
          <w:spacing w:val="-1"/>
          <w:szCs w:val="18"/>
        </w:rPr>
        <w:t>stra</w:t>
      </w:r>
      <w:r w:rsidR="00AF1BDB">
        <w:rPr>
          <w:spacing w:val="-1"/>
          <w:szCs w:val="18"/>
        </w:rPr>
        <w:softHyphen/>
      </w:r>
      <w:r w:rsidRPr="00E80D45">
        <w:rPr>
          <w:spacing w:val="-1"/>
          <w:szCs w:val="18"/>
        </w:rPr>
        <w:t>zio</w:t>
      </w:r>
      <w:r w:rsidR="00AF1BDB">
        <w:rPr>
          <w:spacing w:val="-1"/>
          <w:szCs w:val="18"/>
        </w:rPr>
        <w:softHyphen/>
      </w:r>
      <w:r w:rsidRPr="00E80D45">
        <w:rPr>
          <w:spacing w:val="-1"/>
          <w:szCs w:val="18"/>
        </w:rPr>
        <w:t>ne della Corte, alla gestione finanziaria ed alla contabilità provvede, sotto l’autorità del presidente, il cancelliere con il concorso di un amministratore».</w:t>
      </w:r>
    </w:p>
  </w:footnote>
  <w:footnote w:id="109">
    <w:p w14:paraId="3EFBA5FB" w14:textId="76A20931" w:rsidR="000E3D39" w:rsidRPr="00464DEB" w:rsidRDefault="000E3D39" w:rsidP="00F9613A">
      <w:pPr>
        <w:pStyle w:val="Testonotaapidipagina"/>
        <w:rPr>
          <w:szCs w:val="18"/>
        </w:rPr>
      </w:pPr>
      <w:r w:rsidRPr="00557599">
        <w:rPr>
          <w:rStyle w:val="Rimandonotaapidipagina"/>
          <w:snapToGrid w:val="0"/>
          <w:szCs w:val="18"/>
          <w:u w:color="000000"/>
        </w:rPr>
        <w:footnoteRef/>
      </w:r>
      <w:r>
        <w:rPr>
          <w:snapToGrid w:val="0"/>
          <w:szCs w:val="18"/>
          <w:u w:color="000000"/>
          <w:vertAlign w:val="superscript"/>
        </w:rPr>
        <w:t> </w:t>
      </w:r>
      <w:r w:rsidRPr="00464DEB">
        <w:rPr>
          <w:szCs w:val="18"/>
        </w:rPr>
        <w:t xml:space="preserve">Più precisamente, gli artt. 223 e 224 </w:t>
      </w:r>
      <w:proofErr w:type="spellStart"/>
      <w:r w:rsidR="00466935">
        <w:rPr>
          <w:szCs w:val="18"/>
        </w:rPr>
        <w:t>T</w:t>
      </w:r>
      <w:r w:rsidR="00F756EB">
        <w:rPr>
          <w:szCs w:val="18"/>
        </w:rPr>
        <w:t>r</w:t>
      </w:r>
      <w:proofErr w:type="spellEnd"/>
      <w:r w:rsidR="00F756EB">
        <w:rPr>
          <w:szCs w:val="18"/>
        </w:rPr>
        <w:t xml:space="preserve">. </w:t>
      </w:r>
      <w:r w:rsidRPr="00464DEB">
        <w:rPr>
          <w:szCs w:val="18"/>
        </w:rPr>
        <w:t xml:space="preserve">CE (e gli artt. 139 e 140 </w:t>
      </w:r>
      <w:proofErr w:type="spellStart"/>
      <w:r w:rsidR="00F756EB">
        <w:rPr>
          <w:szCs w:val="18"/>
        </w:rPr>
        <w:t>Tr</w:t>
      </w:r>
      <w:proofErr w:type="spellEnd"/>
      <w:r w:rsidR="00F756EB">
        <w:rPr>
          <w:szCs w:val="18"/>
        </w:rPr>
        <w:t>.</w:t>
      </w:r>
      <w:r w:rsidRPr="00464DEB">
        <w:rPr>
          <w:szCs w:val="18"/>
        </w:rPr>
        <w:t xml:space="preserve"> </w:t>
      </w:r>
      <w:r w:rsidR="00F756EB">
        <w:rPr>
          <w:szCs w:val="18"/>
        </w:rPr>
        <w:t>O</w:t>
      </w:r>
      <w:r w:rsidRPr="00464DEB">
        <w:rPr>
          <w:szCs w:val="18"/>
        </w:rPr>
        <w:t>CEEA) prevedono, rispettivamente, che la Corte e il Tribunale di primo grado nominano il proprio Cancelliere e ne fissano lo Statuto. Cfr. anche l’art. 10 Statuto secondo cui «[i]l cancelliere presta giuramento davanti alla Corte di esercitare le proprie funzioni in piena imparzialità e secondo coscienza e di nulla divulgare del segreto delle deliberazioni».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E4A56" w14:textId="5F5B92EC" w:rsidR="000E3D39" w:rsidRPr="00F91862" w:rsidRDefault="000E3D39" w:rsidP="007D4EED">
    <w:pPr>
      <w:pStyle w:val="Intestazione"/>
      <w:tabs>
        <w:tab w:val="clear" w:pos="3629"/>
      </w:tabs>
      <w:jc w:val="right"/>
      <w:rPr>
        <w:rFonts w:ascii="Simoncini Garamond Std" w:hAnsi="Simoncini Garamond Std"/>
        <w:sz w:val="21"/>
        <w:szCs w:val="21"/>
      </w:rPr>
    </w:pPr>
    <w:r w:rsidRPr="00F91862">
      <w:rPr>
        <w:rFonts w:ascii="Simoncini Garamond Std" w:hAnsi="Simoncini Garamond Std" w:cs="Times New Roman"/>
        <w:sz w:val="21"/>
        <w:szCs w:val="21"/>
      </w:rPr>
      <w:fldChar w:fldCharType="begin"/>
    </w:r>
    <w:r w:rsidRPr="00F91862">
      <w:rPr>
        <w:rFonts w:ascii="Simoncini Garamond Std" w:hAnsi="Simoncini Garamond Std" w:cs="Times New Roman"/>
        <w:sz w:val="21"/>
        <w:szCs w:val="21"/>
      </w:rPr>
      <w:instrText>PAGE   \* MERGEFORMAT</w:instrText>
    </w:r>
    <w:r w:rsidRPr="00F91862">
      <w:rPr>
        <w:rFonts w:ascii="Simoncini Garamond Std" w:hAnsi="Simoncini Garamond Std" w:cs="Times New Roman"/>
        <w:sz w:val="21"/>
        <w:szCs w:val="21"/>
      </w:rPr>
      <w:fldChar w:fldCharType="separate"/>
    </w:r>
    <w:r w:rsidR="00720260">
      <w:rPr>
        <w:rFonts w:ascii="Simoncini Garamond Std" w:hAnsi="Simoncini Garamond Std" w:cs="Times New Roman"/>
        <w:noProof/>
        <w:sz w:val="21"/>
        <w:szCs w:val="21"/>
      </w:rPr>
      <w:t>56</w:t>
    </w:r>
    <w:r w:rsidRPr="00F91862">
      <w:rPr>
        <w:rFonts w:ascii="Simoncini Garamond Std" w:hAnsi="Simoncini Garamond Std" w:cs="Times New Roman"/>
        <w:sz w:val="21"/>
        <w:szCs w:val="21"/>
      </w:rPr>
      <w:fldChar w:fldCharType="end"/>
    </w:r>
    <w:r w:rsidRPr="00F91862">
      <w:rPr>
        <w:rFonts w:ascii="Simoncini Garamond Std" w:hAnsi="Simoncini Garamond Std"/>
      </w:rPr>
      <w:tab/>
    </w:r>
    <w:r w:rsidRPr="00DF624F">
      <w:rPr>
        <w:rFonts w:ascii="Simoncini Garamond Std" w:hAnsi="Simoncini Garamond Std"/>
        <w:bCs/>
        <w:i/>
      </w:rPr>
      <w:t>Roberto Mastroianni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CF978" w14:textId="2037ECAD" w:rsidR="000E3D39" w:rsidRPr="001F7CF8" w:rsidRDefault="000E3D39" w:rsidP="00DF0B8F">
    <w:pPr>
      <w:pStyle w:val="Intestazione"/>
      <w:tabs>
        <w:tab w:val="clear" w:pos="3629"/>
      </w:tabs>
      <w:jc w:val="both"/>
      <w:rPr>
        <w:rFonts w:ascii="Simoncini Garamond Std" w:hAnsi="Simoncini Garamond Std"/>
        <w:sz w:val="15"/>
        <w:szCs w:val="15"/>
      </w:rPr>
    </w:pPr>
    <w:r w:rsidRPr="00DF624F">
      <w:rPr>
        <w:rFonts w:ascii="Simoncini Garamond Std" w:hAnsi="Simoncini Garamond Std"/>
      </w:rPr>
      <w:t>Il sistema giurisdizionale dell’Unione europea</w:t>
    </w:r>
    <w:r w:rsidRPr="001F7CF8">
      <w:rPr>
        <w:rFonts w:ascii="Simoncini Garamond Std" w:hAnsi="Simoncini Garamond Std"/>
      </w:rPr>
      <w:tab/>
    </w:r>
    <w:r w:rsidRPr="001F7CF8">
      <w:rPr>
        <w:rFonts w:ascii="Simoncini Garamond Std" w:hAnsi="Simoncini Garamond Std" w:cs="Times New Roman"/>
        <w:sz w:val="21"/>
        <w:szCs w:val="21"/>
      </w:rPr>
      <w:fldChar w:fldCharType="begin"/>
    </w:r>
    <w:r w:rsidRPr="001F7CF8">
      <w:rPr>
        <w:rFonts w:ascii="Simoncini Garamond Std" w:hAnsi="Simoncini Garamond Std" w:cs="Times New Roman"/>
        <w:sz w:val="21"/>
        <w:szCs w:val="21"/>
      </w:rPr>
      <w:instrText>PAGE   \* MERGEFORMAT</w:instrText>
    </w:r>
    <w:r w:rsidRPr="001F7CF8">
      <w:rPr>
        <w:rFonts w:ascii="Simoncini Garamond Std" w:hAnsi="Simoncini Garamond Std" w:cs="Times New Roman"/>
        <w:sz w:val="21"/>
        <w:szCs w:val="21"/>
      </w:rPr>
      <w:fldChar w:fldCharType="separate"/>
    </w:r>
    <w:r w:rsidR="00720260">
      <w:rPr>
        <w:rFonts w:ascii="Simoncini Garamond Std" w:hAnsi="Simoncini Garamond Std" w:cs="Times New Roman"/>
        <w:noProof/>
        <w:sz w:val="21"/>
        <w:szCs w:val="21"/>
      </w:rPr>
      <w:t>55</w:t>
    </w:r>
    <w:r w:rsidRPr="001F7CF8">
      <w:rPr>
        <w:rFonts w:ascii="Simoncini Garamond Std" w:hAnsi="Simoncini Garamond Std" w:cs="Times New Roman"/>
        <w:sz w:val="21"/>
        <w:szCs w:val="21"/>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9"/>
  <w:autoHyphenation/>
  <w:hyphenationZone w:val="283"/>
  <w:evenAndOddHeader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D0C"/>
    <w:rsid w:val="000009AE"/>
    <w:rsid w:val="000033FE"/>
    <w:rsid w:val="000101D8"/>
    <w:rsid w:val="00012B00"/>
    <w:rsid w:val="00023212"/>
    <w:rsid w:val="00026764"/>
    <w:rsid w:val="0003398A"/>
    <w:rsid w:val="00034A77"/>
    <w:rsid w:val="0004084D"/>
    <w:rsid w:val="0004150E"/>
    <w:rsid w:val="00044650"/>
    <w:rsid w:val="0005029C"/>
    <w:rsid w:val="00055076"/>
    <w:rsid w:val="000569A1"/>
    <w:rsid w:val="00057A51"/>
    <w:rsid w:val="00060B8F"/>
    <w:rsid w:val="00063008"/>
    <w:rsid w:val="00065E94"/>
    <w:rsid w:val="00067EB0"/>
    <w:rsid w:val="000715FC"/>
    <w:rsid w:val="00072617"/>
    <w:rsid w:val="00075F2D"/>
    <w:rsid w:val="00081A95"/>
    <w:rsid w:val="00087993"/>
    <w:rsid w:val="0009233E"/>
    <w:rsid w:val="00093936"/>
    <w:rsid w:val="000A7D1F"/>
    <w:rsid w:val="000B5E71"/>
    <w:rsid w:val="000B6EE9"/>
    <w:rsid w:val="000D4EC4"/>
    <w:rsid w:val="000D55D3"/>
    <w:rsid w:val="000D62C9"/>
    <w:rsid w:val="000E3D39"/>
    <w:rsid w:val="000F246C"/>
    <w:rsid w:val="000F50FD"/>
    <w:rsid w:val="000F75F2"/>
    <w:rsid w:val="00100857"/>
    <w:rsid w:val="001011AD"/>
    <w:rsid w:val="00101D01"/>
    <w:rsid w:val="00101EBD"/>
    <w:rsid w:val="001034F3"/>
    <w:rsid w:val="0011063D"/>
    <w:rsid w:val="00110FE2"/>
    <w:rsid w:val="001175D4"/>
    <w:rsid w:val="001178F9"/>
    <w:rsid w:val="00122E97"/>
    <w:rsid w:val="001242D8"/>
    <w:rsid w:val="0012627F"/>
    <w:rsid w:val="001262E5"/>
    <w:rsid w:val="00126A04"/>
    <w:rsid w:val="001302ED"/>
    <w:rsid w:val="00135751"/>
    <w:rsid w:val="00137317"/>
    <w:rsid w:val="00141A7F"/>
    <w:rsid w:val="0015150E"/>
    <w:rsid w:val="00156309"/>
    <w:rsid w:val="001564E4"/>
    <w:rsid w:val="00162C1C"/>
    <w:rsid w:val="00165AD3"/>
    <w:rsid w:val="00165F86"/>
    <w:rsid w:val="001670A4"/>
    <w:rsid w:val="00180723"/>
    <w:rsid w:val="0019036C"/>
    <w:rsid w:val="00195B37"/>
    <w:rsid w:val="001B0C9F"/>
    <w:rsid w:val="001B2DC7"/>
    <w:rsid w:val="001B4395"/>
    <w:rsid w:val="001B59AF"/>
    <w:rsid w:val="001B6603"/>
    <w:rsid w:val="001B7A9D"/>
    <w:rsid w:val="001C036E"/>
    <w:rsid w:val="001C37B5"/>
    <w:rsid w:val="001C7376"/>
    <w:rsid w:val="001D22BF"/>
    <w:rsid w:val="001D31AA"/>
    <w:rsid w:val="001D4780"/>
    <w:rsid w:val="001D57B7"/>
    <w:rsid w:val="001E32D7"/>
    <w:rsid w:val="001E4304"/>
    <w:rsid w:val="001E6717"/>
    <w:rsid w:val="001F10AC"/>
    <w:rsid w:val="001F1A74"/>
    <w:rsid w:val="001F2309"/>
    <w:rsid w:val="001F4FB0"/>
    <w:rsid w:val="001F7CF8"/>
    <w:rsid w:val="00201AB2"/>
    <w:rsid w:val="002075B0"/>
    <w:rsid w:val="002128EF"/>
    <w:rsid w:val="00212F8C"/>
    <w:rsid w:val="00214E7A"/>
    <w:rsid w:val="00216BDA"/>
    <w:rsid w:val="00216DED"/>
    <w:rsid w:val="00220011"/>
    <w:rsid w:val="0022086C"/>
    <w:rsid w:val="00220874"/>
    <w:rsid w:val="00225758"/>
    <w:rsid w:val="002313AD"/>
    <w:rsid w:val="00236193"/>
    <w:rsid w:val="00241E08"/>
    <w:rsid w:val="00247D9F"/>
    <w:rsid w:val="0025291E"/>
    <w:rsid w:val="00252E90"/>
    <w:rsid w:val="00253B0A"/>
    <w:rsid w:val="0026299E"/>
    <w:rsid w:val="002647CE"/>
    <w:rsid w:val="0026610E"/>
    <w:rsid w:val="00267494"/>
    <w:rsid w:val="00270704"/>
    <w:rsid w:val="002720B1"/>
    <w:rsid w:val="00282B13"/>
    <w:rsid w:val="00287A96"/>
    <w:rsid w:val="0029018A"/>
    <w:rsid w:val="00290E8E"/>
    <w:rsid w:val="00292D4F"/>
    <w:rsid w:val="00293DA4"/>
    <w:rsid w:val="002971C0"/>
    <w:rsid w:val="002A1548"/>
    <w:rsid w:val="002A666D"/>
    <w:rsid w:val="002A7048"/>
    <w:rsid w:val="002B63BD"/>
    <w:rsid w:val="002C4301"/>
    <w:rsid w:val="002E1F37"/>
    <w:rsid w:val="002E3B24"/>
    <w:rsid w:val="002F297E"/>
    <w:rsid w:val="002F2A96"/>
    <w:rsid w:val="002F5F1E"/>
    <w:rsid w:val="00301B2E"/>
    <w:rsid w:val="00304D9B"/>
    <w:rsid w:val="0030581D"/>
    <w:rsid w:val="0030591C"/>
    <w:rsid w:val="00307640"/>
    <w:rsid w:val="00311D0D"/>
    <w:rsid w:val="003129E2"/>
    <w:rsid w:val="0031576F"/>
    <w:rsid w:val="003218AA"/>
    <w:rsid w:val="00324534"/>
    <w:rsid w:val="00324A31"/>
    <w:rsid w:val="0033049C"/>
    <w:rsid w:val="00334C51"/>
    <w:rsid w:val="00352F17"/>
    <w:rsid w:val="003657F2"/>
    <w:rsid w:val="00365C41"/>
    <w:rsid w:val="00373E6C"/>
    <w:rsid w:val="003742B2"/>
    <w:rsid w:val="00375DC3"/>
    <w:rsid w:val="00385A52"/>
    <w:rsid w:val="00393DDC"/>
    <w:rsid w:val="003A0068"/>
    <w:rsid w:val="003A19D1"/>
    <w:rsid w:val="003A2C85"/>
    <w:rsid w:val="003A483B"/>
    <w:rsid w:val="003B1D48"/>
    <w:rsid w:val="003B38F0"/>
    <w:rsid w:val="003B3DC8"/>
    <w:rsid w:val="003C0ECE"/>
    <w:rsid w:val="003C3BE6"/>
    <w:rsid w:val="003C47BC"/>
    <w:rsid w:val="003C69D8"/>
    <w:rsid w:val="003D1B6E"/>
    <w:rsid w:val="003E04D1"/>
    <w:rsid w:val="003E7A05"/>
    <w:rsid w:val="003F0B24"/>
    <w:rsid w:val="00404603"/>
    <w:rsid w:val="004050C9"/>
    <w:rsid w:val="00413880"/>
    <w:rsid w:val="00413965"/>
    <w:rsid w:val="0041640D"/>
    <w:rsid w:val="004164C3"/>
    <w:rsid w:val="00416F1C"/>
    <w:rsid w:val="00425039"/>
    <w:rsid w:val="004327F4"/>
    <w:rsid w:val="00437059"/>
    <w:rsid w:val="0044317A"/>
    <w:rsid w:val="0044334A"/>
    <w:rsid w:val="00444D44"/>
    <w:rsid w:val="004464E6"/>
    <w:rsid w:val="004531CA"/>
    <w:rsid w:val="004537F4"/>
    <w:rsid w:val="00455E01"/>
    <w:rsid w:val="00457A5D"/>
    <w:rsid w:val="00462918"/>
    <w:rsid w:val="0046323B"/>
    <w:rsid w:val="00464DEB"/>
    <w:rsid w:val="00466935"/>
    <w:rsid w:val="00476F21"/>
    <w:rsid w:val="0047790C"/>
    <w:rsid w:val="00484F59"/>
    <w:rsid w:val="00490208"/>
    <w:rsid w:val="00492D49"/>
    <w:rsid w:val="00497AB2"/>
    <w:rsid w:val="004A2894"/>
    <w:rsid w:val="004A5BA3"/>
    <w:rsid w:val="004B0B3E"/>
    <w:rsid w:val="004B30A4"/>
    <w:rsid w:val="004C159C"/>
    <w:rsid w:val="004C168C"/>
    <w:rsid w:val="004C3655"/>
    <w:rsid w:val="004D429A"/>
    <w:rsid w:val="004E2E27"/>
    <w:rsid w:val="004F5B20"/>
    <w:rsid w:val="004F7AF7"/>
    <w:rsid w:val="005113E1"/>
    <w:rsid w:val="005157CD"/>
    <w:rsid w:val="005205DF"/>
    <w:rsid w:val="005220D9"/>
    <w:rsid w:val="005232BA"/>
    <w:rsid w:val="005272F5"/>
    <w:rsid w:val="005362C8"/>
    <w:rsid w:val="00540298"/>
    <w:rsid w:val="005472E1"/>
    <w:rsid w:val="005555A2"/>
    <w:rsid w:val="00557599"/>
    <w:rsid w:val="0056149E"/>
    <w:rsid w:val="0056220E"/>
    <w:rsid w:val="00565169"/>
    <w:rsid w:val="0056569A"/>
    <w:rsid w:val="005724B9"/>
    <w:rsid w:val="00572590"/>
    <w:rsid w:val="00576BD6"/>
    <w:rsid w:val="00577036"/>
    <w:rsid w:val="00591B59"/>
    <w:rsid w:val="00593903"/>
    <w:rsid w:val="0059712B"/>
    <w:rsid w:val="005A2675"/>
    <w:rsid w:val="005A31D3"/>
    <w:rsid w:val="005A6FDF"/>
    <w:rsid w:val="005A7026"/>
    <w:rsid w:val="005B2A4A"/>
    <w:rsid w:val="005B50BB"/>
    <w:rsid w:val="005C3AD0"/>
    <w:rsid w:val="005D0B8F"/>
    <w:rsid w:val="005D58C3"/>
    <w:rsid w:val="005D5CC3"/>
    <w:rsid w:val="005D6B1E"/>
    <w:rsid w:val="005E3DBD"/>
    <w:rsid w:val="005F3C23"/>
    <w:rsid w:val="006025F6"/>
    <w:rsid w:val="006112CA"/>
    <w:rsid w:val="00611917"/>
    <w:rsid w:val="00613BA7"/>
    <w:rsid w:val="00613BE6"/>
    <w:rsid w:val="00616B3C"/>
    <w:rsid w:val="00632E4A"/>
    <w:rsid w:val="00634A40"/>
    <w:rsid w:val="006420A0"/>
    <w:rsid w:val="00650F40"/>
    <w:rsid w:val="00651730"/>
    <w:rsid w:val="00651B83"/>
    <w:rsid w:val="00651E9F"/>
    <w:rsid w:val="00667240"/>
    <w:rsid w:val="0067141A"/>
    <w:rsid w:val="00676871"/>
    <w:rsid w:val="00685073"/>
    <w:rsid w:val="00687D1A"/>
    <w:rsid w:val="0069602A"/>
    <w:rsid w:val="00697705"/>
    <w:rsid w:val="006A0AAF"/>
    <w:rsid w:val="006A24AE"/>
    <w:rsid w:val="006A3141"/>
    <w:rsid w:val="006B193F"/>
    <w:rsid w:val="006B5B1F"/>
    <w:rsid w:val="006C677E"/>
    <w:rsid w:val="006D22AC"/>
    <w:rsid w:val="006E2CFC"/>
    <w:rsid w:val="006E7090"/>
    <w:rsid w:val="006F000E"/>
    <w:rsid w:val="006F4203"/>
    <w:rsid w:val="006F58D7"/>
    <w:rsid w:val="006F5A8C"/>
    <w:rsid w:val="007033E2"/>
    <w:rsid w:val="0070422F"/>
    <w:rsid w:val="00704DFF"/>
    <w:rsid w:val="007065AA"/>
    <w:rsid w:val="00706F78"/>
    <w:rsid w:val="00707972"/>
    <w:rsid w:val="00713226"/>
    <w:rsid w:val="00714D0C"/>
    <w:rsid w:val="0072013B"/>
    <w:rsid w:val="00720260"/>
    <w:rsid w:val="007221B2"/>
    <w:rsid w:val="007269C2"/>
    <w:rsid w:val="00726C8E"/>
    <w:rsid w:val="0073006D"/>
    <w:rsid w:val="00734CCD"/>
    <w:rsid w:val="00740277"/>
    <w:rsid w:val="00743F92"/>
    <w:rsid w:val="0075680F"/>
    <w:rsid w:val="007645A1"/>
    <w:rsid w:val="00777931"/>
    <w:rsid w:val="00783193"/>
    <w:rsid w:val="00784406"/>
    <w:rsid w:val="00785AA1"/>
    <w:rsid w:val="00785EE2"/>
    <w:rsid w:val="00791FBD"/>
    <w:rsid w:val="007978F2"/>
    <w:rsid w:val="007B01C6"/>
    <w:rsid w:val="007B0816"/>
    <w:rsid w:val="007B20AF"/>
    <w:rsid w:val="007B2C92"/>
    <w:rsid w:val="007B41F3"/>
    <w:rsid w:val="007B72EE"/>
    <w:rsid w:val="007C3088"/>
    <w:rsid w:val="007C3700"/>
    <w:rsid w:val="007C42F3"/>
    <w:rsid w:val="007C59C2"/>
    <w:rsid w:val="007D093E"/>
    <w:rsid w:val="007D2067"/>
    <w:rsid w:val="007D2998"/>
    <w:rsid w:val="007D4EED"/>
    <w:rsid w:val="007D5458"/>
    <w:rsid w:val="007E1EE2"/>
    <w:rsid w:val="007E318E"/>
    <w:rsid w:val="007E3864"/>
    <w:rsid w:val="007E3D62"/>
    <w:rsid w:val="007F28C0"/>
    <w:rsid w:val="0080242B"/>
    <w:rsid w:val="00803EA0"/>
    <w:rsid w:val="008043B5"/>
    <w:rsid w:val="00813218"/>
    <w:rsid w:val="0081707D"/>
    <w:rsid w:val="0082068F"/>
    <w:rsid w:val="00820782"/>
    <w:rsid w:val="008208C4"/>
    <w:rsid w:val="00820D07"/>
    <w:rsid w:val="00832CC3"/>
    <w:rsid w:val="00836B7A"/>
    <w:rsid w:val="008470D0"/>
    <w:rsid w:val="008472A6"/>
    <w:rsid w:val="00853B2F"/>
    <w:rsid w:val="00853DA3"/>
    <w:rsid w:val="008542D0"/>
    <w:rsid w:val="008545F6"/>
    <w:rsid w:val="00854ED1"/>
    <w:rsid w:val="0086039B"/>
    <w:rsid w:val="00860493"/>
    <w:rsid w:val="00864699"/>
    <w:rsid w:val="00865D66"/>
    <w:rsid w:val="00867FB4"/>
    <w:rsid w:val="008847CE"/>
    <w:rsid w:val="008879CF"/>
    <w:rsid w:val="00897CD9"/>
    <w:rsid w:val="008A3A1E"/>
    <w:rsid w:val="008A5AD3"/>
    <w:rsid w:val="008A63E3"/>
    <w:rsid w:val="008B0819"/>
    <w:rsid w:val="008B2DFF"/>
    <w:rsid w:val="008B4C3A"/>
    <w:rsid w:val="008B5221"/>
    <w:rsid w:val="008C090C"/>
    <w:rsid w:val="008C18BD"/>
    <w:rsid w:val="008D376A"/>
    <w:rsid w:val="008D58B7"/>
    <w:rsid w:val="008D6D95"/>
    <w:rsid w:val="008E15D6"/>
    <w:rsid w:val="008E33E0"/>
    <w:rsid w:val="008E4B82"/>
    <w:rsid w:val="008F146F"/>
    <w:rsid w:val="008F72E3"/>
    <w:rsid w:val="00903DBF"/>
    <w:rsid w:val="00910DD0"/>
    <w:rsid w:val="009114DA"/>
    <w:rsid w:val="009163F9"/>
    <w:rsid w:val="00921762"/>
    <w:rsid w:val="00927EE7"/>
    <w:rsid w:val="00930396"/>
    <w:rsid w:val="00931159"/>
    <w:rsid w:val="00931D98"/>
    <w:rsid w:val="009638E6"/>
    <w:rsid w:val="00963945"/>
    <w:rsid w:val="0096798A"/>
    <w:rsid w:val="00980729"/>
    <w:rsid w:val="009902F9"/>
    <w:rsid w:val="00991B84"/>
    <w:rsid w:val="009A035F"/>
    <w:rsid w:val="009A2F4D"/>
    <w:rsid w:val="009A5AD7"/>
    <w:rsid w:val="009B1B4B"/>
    <w:rsid w:val="009B26C0"/>
    <w:rsid w:val="009B513C"/>
    <w:rsid w:val="009C747E"/>
    <w:rsid w:val="009C7602"/>
    <w:rsid w:val="009D408D"/>
    <w:rsid w:val="009E447D"/>
    <w:rsid w:val="009E50BD"/>
    <w:rsid w:val="009E5DD1"/>
    <w:rsid w:val="009F0436"/>
    <w:rsid w:val="009F2AE0"/>
    <w:rsid w:val="00A07864"/>
    <w:rsid w:val="00A147D7"/>
    <w:rsid w:val="00A152B3"/>
    <w:rsid w:val="00A154B6"/>
    <w:rsid w:val="00A16BDC"/>
    <w:rsid w:val="00A1739D"/>
    <w:rsid w:val="00A21686"/>
    <w:rsid w:val="00A23619"/>
    <w:rsid w:val="00A23698"/>
    <w:rsid w:val="00A23ACE"/>
    <w:rsid w:val="00A26062"/>
    <w:rsid w:val="00A26FDD"/>
    <w:rsid w:val="00A2792E"/>
    <w:rsid w:val="00A27F39"/>
    <w:rsid w:val="00A32F64"/>
    <w:rsid w:val="00A46C1A"/>
    <w:rsid w:val="00A5278D"/>
    <w:rsid w:val="00A5534F"/>
    <w:rsid w:val="00A553ED"/>
    <w:rsid w:val="00A607D2"/>
    <w:rsid w:val="00A61E8A"/>
    <w:rsid w:val="00A65A8D"/>
    <w:rsid w:val="00A66A0F"/>
    <w:rsid w:val="00A72BA3"/>
    <w:rsid w:val="00A76827"/>
    <w:rsid w:val="00A77C49"/>
    <w:rsid w:val="00A77EA9"/>
    <w:rsid w:val="00A830F7"/>
    <w:rsid w:val="00A846CA"/>
    <w:rsid w:val="00A92032"/>
    <w:rsid w:val="00A93A1B"/>
    <w:rsid w:val="00A94729"/>
    <w:rsid w:val="00A96D8C"/>
    <w:rsid w:val="00AA1AD0"/>
    <w:rsid w:val="00AA4CAD"/>
    <w:rsid w:val="00AB2CCB"/>
    <w:rsid w:val="00AC0E63"/>
    <w:rsid w:val="00AC436D"/>
    <w:rsid w:val="00AD442C"/>
    <w:rsid w:val="00AD5795"/>
    <w:rsid w:val="00AE049B"/>
    <w:rsid w:val="00AE2DD4"/>
    <w:rsid w:val="00AE3CCA"/>
    <w:rsid w:val="00AE6302"/>
    <w:rsid w:val="00AE6C0E"/>
    <w:rsid w:val="00AF1BDB"/>
    <w:rsid w:val="00AF1E5C"/>
    <w:rsid w:val="00AF442B"/>
    <w:rsid w:val="00AF78E9"/>
    <w:rsid w:val="00AF79C0"/>
    <w:rsid w:val="00B035F4"/>
    <w:rsid w:val="00B119AB"/>
    <w:rsid w:val="00B15B59"/>
    <w:rsid w:val="00B24E7A"/>
    <w:rsid w:val="00B271A1"/>
    <w:rsid w:val="00B271FB"/>
    <w:rsid w:val="00B3469D"/>
    <w:rsid w:val="00B51045"/>
    <w:rsid w:val="00B53C2F"/>
    <w:rsid w:val="00B56DB5"/>
    <w:rsid w:val="00B615B2"/>
    <w:rsid w:val="00B857E1"/>
    <w:rsid w:val="00B91075"/>
    <w:rsid w:val="00B91BEB"/>
    <w:rsid w:val="00B92148"/>
    <w:rsid w:val="00B92B91"/>
    <w:rsid w:val="00B946BD"/>
    <w:rsid w:val="00B97B90"/>
    <w:rsid w:val="00BA341E"/>
    <w:rsid w:val="00BA408E"/>
    <w:rsid w:val="00BA70DC"/>
    <w:rsid w:val="00BA7288"/>
    <w:rsid w:val="00BB24D5"/>
    <w:rsid w:val="00BB42F4"/>
    <w:rsid w:val="00BB6623"/>
    <w:rsid w:val="00BB70BA"/>
    <w:rsid w:val="00BC1330"/>
    <w:rsid w:val="00BC1F11"/>
    <w:rsid w:val="00BC2357"/>
    <w:rsid w:val="00BC5CCB"/>
    <w:rsid w:val="00BD079B"/>
    <w:rsid w:val="00BE2A19"/>
    <w:rsid w:val="00BE2B94"/>
    <w:rsid w:val="00BE60D4"/>
    <w:rsid w:val="00BF1664"/>
    <w:rsid w:val="00BF2B46"/>
    <w:rsid w:val="00BF2DEB"/>
    <w:rsid w:val="00C059B9"/>
    <w:rsid w:val="00C06FC7"/>
    <w:rsid w:val="00C13AD1"/>
    <w:rsid w:val="00C16850"/>
    <w:rsid w:val="00C20F1A"/>
    <w:rsid w:val="00C22C0C"/>
    <w:rsid w:val="00C464A0"/>
    <w:rsid w:val="00C47C5E"/>
    <w:rsid w:val="00C52C77"/>
    <w:rsid w:val="00C57C38"/>
    <w:rsid w:val="00C6751B"/>
    <w:rsid w:val="00C74D7C"/>
    <w:rsid w:val="00C85295"/>
    <w:rsid w:val="00C93A8B"/>
    <w:rsid w:val="00C96F3C"/>
    <w:rsid w:val="00CA4012"/>
    <w:rsid w:val="00CA7E61"/>
    <w:rsid w:val="00CB37AE"/>
    <w:rsid w:val="00CB60F2"/>
    <w:rsid w:val="00CB771C"/>
    <w:rsid w:val="00CC3721"/>
    <w:rsid w:val="00CC6E33"/>
    <w:rsid w:val="00CD0654"/>
    <w:rsid w:val="00CD7B56"/>
    <w:rsid w:val="00CE3229"/>
    <w:rsid w:val="00CE57B2"/>
    <w:rsid w:val="00CF0E52"/>
    <w:rsid w:val="00CF1C51"/>
    <w:rsid w:val="00CF58B0"/>
    <w:rsid w:val="00CF631D"/>
    <w:rsid w:val="00CF6F73"/>
    <w:rsid w:val="00D04C06"/>
    <w:rsid w:val="00D074B7"/>
    <w:rsid w:val="00D15290"/>
    <w:rsid w:val="00D15DED"/>
    <w:rsid w:val="00D16C62"/>
    <w:rsid w:val="00D17EAE"/>
    <w:rsid w:val="00D26142"/>
    <w:rsid w:val="00D313CF"/>
    <w:rsid w:val="00D325FB"/>
    <w:rsid w:val="00D339BD"/>
    <w:rsid w:val="00D3472B"/>
    <w:rsid w:val="00D37822"/>
    <w:rsid w:val="00D4051D"/>
    <w:rsid w:val="00D41E00"/>
    <w:rsid w:val="00D4671E"/>
    <w:rsid w:val="00D469A5"/>
    <w:rsid w:val="00D5265E"/>
    <w:rsid w:val="00D5326D"/>
    <w:rsid w:val="00D61502"/>
    <w:rsid w:val="00D61682"/>
    <w:rsid w:val="00D67CD1"/>
    <w:rsid w:val="00D72BAD"/>
    <w:rsid w:val="00D7341B"/>
    <w:rsid w:val="00D77450"/>
    <w:rsid w:val="00D84913"/>
    <w:rsid w:val="00D8679C"/>
    <w:rsid w:val="00D870FE"/>
    <w:rsid w:val="00D9053A"/>
    <w:rsid w:val="00D975E1"/>
    <w:rsid w:val="00DA019E"/>
    <w:rsid w:val="00DA4803"/>
    <w:rsid w:val="00DA7F40"/>
    <w:rsid w:val="00DB128B"/>
    <w:rsid w:val="00DB2911"/>
    <w:rsid w:val="00DB550B"/>
    <w:rsid w:val="00DB5B9E"/>
    <w:rsid w:val="00DC0B1D"/>
    <w:rsid w:val="00DC1B38"/>
    <w:rsid w:val="00DC56E2"/>
    <w:rsid w:val="00DC68E2"/>
    <w:rsid w:val="00DD35F3"/>
    <w:rsid w:val="00DE0331"/>
    <w:rsid w:val="00DE1E3D"/>
    <w:rsid w:val="00DE39B3"/>
    <w:rsid w:val="00DE66CD"/>
    <w:rsid w:val="00DF0B8F"/>
    <w:rsid w:val="00DF569B"/>
    <w:rsid w:val="00DF624F"/>
    <w:rsid w:val="00DF7FFD"/>
    <w:rsid w:val="00E07F12"/>
    <w:rsid w:val="00E110A3"/>
    <w:rsid w:val="00E11A5A"/>
    <w:rsid w:val="00E2656F"/>
    <w:rsid w:val="00E313D8"/>
    <w:rsid w:val="00E31BFC"/>
    <w:rsid w:val="00E34B78"/>
    <w:rsid w:val="00E34F72"/>
    <w:rsid w:val="00E35EF2"/>
    <w:rsid w:val="00E51CA5"/>
    <w:rsid w:val="00E563C5"/>
    <w:rsid w:val="00E64B2C"/>
    <w:rsid w:val="00E651E9"/>
    <w:rsid w:val="00E66BA2"/>
    <w:rsid w:val="00E730E5"/>
    <w:rsid w:val="00E75147"/>
    <w:rsid w:val="00E8001B"/>
    <w:rsid w:val="00E80D45"/>
    <w:rsid w:val="00E9506A"/>
    <w:rsid w:val="00E973C1"/>
    <w:rsid w:val="00EA18BA"/>
    <w:rsid w:val="00EA1E53"/>
    <w:rsid w:val="00EA5903"/>
    <w:rsid w:val="00EA61F5"/>
    <w:rsid w:val="00EB2917"/>
    <w:rsid w:val="00EB35E4"/>
    <w:rsid w:val="00EB3622"/>
    <w:rsid w:val="00EC2BB0"/>
    <w:rsid w:val="00EC2C1A"/>
    <w:rsid w:val="00EC33B5"/>
    <w:rsid w:val="00EC497B"/>
    <w:rsid w:val="00EC4A8E"/>
    <w:rsid w:val="00EC4D40"/>
    <w:rsid w:val="00EC5FC4"/>
    <w:rsid w:val="00ED0B0C"/>
    <w:rsid w:val="00ED2B45"/>
    <w:rsid w:val="00ED3735"/>
    <w:rsid w:val="00EE2D6E"/>
    <w:rsid w:val="00EF589E"/>
    <w:rsid w:val="00EF6A41"/>
    <w:rsid w:val="00EF77E0"/>
    <w:rsid w:val="00F012AF"/>
    <w:rsid w:val="00F03CDD"/>
    <w:rsid w:val="00F04F08"/>
    <w:rsid w:val="00F121EA"/>
    <w:rsid w:val="00F13065"/>
    <w:rsid w:val="00F26784"/>
    <w:rsid w:val="00F27331"/>
    <w:rsid w:val="00F40EA6"/>
    <w:rsid w:val="00F441C0"/>
    <w:rsid w:val="00F462DB"/>
    <w:rsid w:val="00F504CE"/>
    <w:rsid w:val="00F51281"/>
    <w:rsid w:val="00F52244"/>
    <w:rsid w:val="00F53867"/>
    <w:rsid w:val="00F727AE"/>
    <w:rsid w:val="00F72B5E"/>
    <w:rsid w:val="00F756EB"/>
    <w:rsid w:val="00F80D4E"/>
    <w:rsid w:val="00F82AE1"/>
    <w:rsid w:val="00F82CAE"/>
    <w:rsid w:val="00F82ED3"/>
    <w:rsid w:val="00F868DF"/>
    <w:rsid w:val="00F86D23"/>
    <w:rsid w:val="00F90BF9"/>
    <w:rsid w:val="00F91862"/>
    <w:rsid w:val="00F91BC6"/>
    <w:rsid w:val="00F932E5"/>
    <w:rsid w:val="00F9613A"/>
    <w:rsid w:val="00FA240A"/>
    <w:rsid w:val="00FA24B9"/>
    <w:rsid w:val="00FA44EA"/>
    <w:rsid w:val="00FA4787"/>
    <w:rsid w:val="00FA5ABE"/>
    <w:rsid w:val="00FB257B"/>
    <w:rsid w:val="00FB5A0F"/>
    <w:rsid w:val="00FB74C0"/>
    <w:rsid w:val="00FC1265"/>
    <w:rsid w:val="00FC444C"/>
    <w:rsid w:val="00FC4848"/>
    <w:rsid w:val="00FC51C3"/>
    <w:rsid w:val="00FC6309"/>
    <w:rsid w:val="00FC6B4B"/>
    <w:rsid w:val="00FD210C"/>
    <w:rsid w:val="00FD2ABF"/>
    <w:rsid w:val="00FD391A"/>
    <w:rsid w:val="00FD4BC0"/>
    <w:rsid w:val="00FE0379"/>
    <w:rsid w:val="00FE386A"/>
    <w:rsid w:val="00FE3ABC"/>
    <w:rsid w:val="00FF0402"/>
    <w:rsid w:val="00FF3578"/>
    <w:rsid w:val="00FF6FEF"/>
  </w:rsids>
  <m:mathPr>
    <m:mathFont m:val="Cambria Math"/>
    <m:brkBin m:val="before"/>
    <m:brkBinSub m:val="--"/>
    <m:smallFrac m:val="0"/>
    <m:dispDef/>
    <m:lMargin m:val="0"/>
    <m:rMargin m:val="0"/>
    <m:defJc m:val="centerGroup"/>
    <m:wrapIndent m:val="1440"/>
    <m:intLim m:val="subSup"/>
    <m:naryLim m:val="undOvr"/>
  </m:mathPr>
  <w:themeFontLang w:val="it-IT" w:eastAsia="zh-TW"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9259ED4"/>
  <w15:docId w15:val="{5825EDC8-724D-D94F-B432-F21B243AF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PMingLiU"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qFormat="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emiHidden/>
    <w:qFormat/>
    <w:rsid w:val="00BA70DC"/>
    <w:pPr>
      <w:widowControl w:val="0"/>
    </w:pPr>
    <w:rPr>
      <w:noProof/>
      <w:sz w:val="22"/>
      <w:szCs w:val="22"/>
      <w:lang w:eastAsia="zh-TW"/>
    </w:rPr>
  </w:style>
  <w:style w:type="paragraph" w:styleId="Titolo1">
    <w:name w:val="heading 1"/>
    <w:basedOn w:val="Normale"/>
    <w:next w:val="Normale"/>
    <w:link w:val="Titolo1Carattere"/>
    <w:uiPriority w:val="1"/>
    <w:qFormat/>
    <w:rsid w:val="001B6603"/>
    <w:pPr>
      <w:keepNext/>
      <w:spacing w:before="240" w:after="60"/>
      <w:outlineLvl w:val="0"/>
    </w:pPr>
    <w:rPr>
      <w:rFonts w:ascii="Calibri Light" w:hAnsi="Calibri Light"/>
      <w:b/>
      <w:bCs/>
      <w:kern w:val="32"/>
      <w:sz w:val="32"/>
      <w:szCs w:val="32"/>
    </w:rPr>
  </w:style>
  <w:style w:type="paragraph" w:styleId="Titolo2">
    <w:name w:val="heading 2"/>
    <w:basedOn w:val="Normale"/>
    <w:next w:val="Normale"/>
    <w:link w:val="Titolo2Carattere"/>
    <w:uiPriority w:val="9"/>
    <w:qFormat/>
    <w:rsid w:val="008A5AD3"/>
    <w:pPr>
      <w:keepNext/>
      <w:keepLines/>
      <w:spacing w:before="200"/>
      <w:jc w:val="both"/>
      <w:outlineLvl w:val="1"/>
    </w:pPr>
    <w:rPr>
      <w:rFonts w:ascii="Calibri Light" w:hAnsi="Calibri Light"/>
      <w:b/>
      <w:bCs/>
      <w:noProof w:val="0"/>
      <w:color w:val="4472C4"/>
      <w:sz w:val="26"/>
      <w:szCs w:val="26"/>
      <w:lang w:eastAsia="it-IT"/>
    </w:rPr>
  </w:style>
  <w:style w:type="paragraph" w:styleId="Titolo3">
    <w:name w:val="heading 3"/>
    <w:basedOn w:val="Normale"/>
    <w:next w:val="Normale"/>
    <w:link w:val="Titolo3Carattere"/>
    <w:uiPriority w:val="99"/>
    <w:qFormat/>
    <w:rsid w:val="00CC6E33"/>
    <w:pPr>
      <w:keepNext/>
      <w:spacing w:before="240" w:after="60"/>
      <w:ind w:firstLine="284"/>
      <w:jc w:val="both"/>
      <w:outlineLvl w:val="2"/>
    </w:pPr>
    <w:rPr>
      <w:rFonts w:ascii="Arial" w:eastAsia="Times New Roman" w:hAnsi="Arial" w:cs="Arial"/>
      <w:b/>
      <w:bCs/>
      <w:noProof w:val="0"/>
      <w:sz w:val="26"/>
      <w:szCs w:val="26"/>
      <w:lang w:eastAsia="it-IT"/>
    </w:rPr>
  </w:style>
  <w:style w:type="paragraph" w:styleId="Titolo4">
    <w:name w:val="heading 4"/>
    <w:basedOn w:val="Normale"/>
    <w:link w:val="Titolo4Carattere"/>
    <w:uiPriority w:val="99"/>
    <w:qFormat/>
    <w:rsid w:val="00CC6E33"/>
    <w:pPr>
      <w:spacing w:before="100" w:beforeAutospacing="1" w:after="100" w:afterAutospacing="1"/>
      <w:ind w:firstLine="284"/>
      <w:jc w:val="both"/>
      <w:outlineLvl w:val="3"/>
    </w:pPr>
    <w:rPr>
      <w:rFonts w:ascii="Arial Unicode MS" w:eastAsia="Arial Unicode MS" w:hAnsi="Arial Unicode MS" w:cs="Arial Unicode MS"/>
      <w:b/>
      <w:bCs/>
      <w:noProof w:val="0"/>
      <w:sz w:val="24"/>
      <w:szCs w:val="24"/>
      <w:lang w:eastAsia="it-IT"/>
    </w:rPr>
  </w:style>
  <w:style w:type="paragraph" w:styleId="Titolo5">
    <w:name w:val="heading 5"/>
    <w:basedOn w:val="Normale"/>
    <w:next w:val="Normale"/>
    <w:link w:val="Titolo5Carattere"/>
    <w:uiPriority w:val="99"/>
    <w:qFormat/>
    <w:rsid w:val="008A5AD3"/>
    <w:pPr>
      <w:keepNext/>
      <w:keepLines/>
      <w:spacing w:before="200" w:line="259" w:lineRule="auto"/>
      <w:outlineLvl w:val="4"/>
    </w:pPr>
    <w:rPr>
      <w:rFonts w:ascii="Calibri Light" w:hAnsi="Calibri Light"/>
      <w:noProof w:val="0"/>
      <w:color w:val="1F3763"/>
      <w:lang w:eastAsia="en-US"/>
    </w:rPr>
  </w:style>
  <w:style w:type="paragraph" w:styleId="Titolo6">
    <w:name w:val="heading 6"/>
    <w:basedOn w:val="Normale"/>
    <w:link w:val="Titolo6Carattere"/>
    <w:qFormat/>
    <w:rsid w:val="00CC6E33"/>
    <w:pPr>
      <w:spacing w:after="240"/>
      <w:ind w:left="3600" w:hanging="720"/>
      <w:jc w:val="both"/>
      <w:outlineLvl w:val="5"/>
    </w:pPr>
    <w:rPr>
      <w:rFonts w:ascii="Book Antiqua" w:eastAsia="Times New Roman" w:hAnsi="Book Antiqua" w:cs="Courier New"/>
      <w:bCs/>
      <w:noProof w:val="0"/>
      <w:color w:val="000000"/>
      <w:sz w:val="24"/>
      <w:szCs w:val="23"/>
      <w:lang w:eastAsia="it-IT"/>
    </w:rPr>
  </w:style>
  <w:style w:type="paragraph" w:styleId="Titolo7">
    <w:name w:val="heading 7"/>
    <w:basedOn w:val="Normale"/>
    <w:link w:val="Titolo7Carattere"/>
    <w:qFormat/>
    <w:rsid w:val="00CC6E33"/>
    <w:pPr>
      <w:spacing w:after="240"/>
      <w:ind w:left="3600" w:hanging="720"/>
      <w:jc w:val="both"/>
      <w:outlineLvl w:val="6"/>
    </w:pPr>
    <w:rPr>
      <w:rFonts w:ascii="Book Antiqua" w:eastAsia="Times New Roman" w:hAnsi="Book Antiqua" w:cs="Courier New"/>
      <w:noProof w:val="0"/>
      <w:color w:val="000000"/>
      <w:sz w:val="24"/>
      <w:szCs w:val="24"/>
      <w:lang w:eastAsia="it-IT"/>
    </w:rPr>
  </w:style>
  <w:style w:type="paragraph" w:styleId="Titolo8">
    <w:name w:val="heading 8"/>
    <w:basedOn w:val="Normale"/>
    <w:link w:val="Titolo8Carattere"/>
    <w:qFormat/>
    <w:rsid w:val="00CC6E33"/>
    <w:pPr>
      <w:spacing w:after="240"/>
      <w:ind w:firstLine="284"/>
      <w:jc w:val="both"/>
      <w:outlineLvl w:val="7"/>
    </w:pPr>
    <w:rPr>
      <w:rFonts w:ascii="Book Antiqua" w:eastAsia="Times New Roman" w:hAnsi="Book Antiqua" w:cs="Courier New"/>
      <w:iCs/>
      <w:noProof w:val="0"/>
      <w:color w:val="000000"/>
      <w:sz w:val="24"/>
      <w:szCs w:val="24"/>
      <w:lang w:eastAsia="it-IT"/>
    </w:rPr>
  </w:style>
  <w:style w:type="paragraph" w:styleId="Titolo9">
    <w:name w:val="heading 9"/>
    <w:basedOn w:val="Normale"/>
    <w:link w:val="Titolo9Carattere"/>
    <w:qFormat/>
    <w:rsid w:val="00CC6E33"/>
    <w:pPr>
      <w:spacing w:after="240"/>
      <w:ind w:firstLine="284"/>
      <w:jc w:val="both"/>
      <w:outlineLvl w:val="8"/>
    </w:pPr>
    <w:rPr>
      <w:rFonts w:ascii="Book Antiqua" w:eastAsia="Times New Roman" w:hAnsi="Book Antiqua" w:cs="Courier New"/>
      <w:noProof w:val="0"/>
      <w:color w:val="000000"/>
      <w:sz w:val="24"/>
      <w:szCs w:val="23"/>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Menzionenonrisolta1">
    <w:name w:val="Menzione non risolta1"/>
    <w:basedOn w:val="Carpredefinitoparagrafo"/>
    <w:uiPriority w:val="99"/>
    <w:semiHidden/>
    <w:unhideWhenUsed/>
    <w:rsid w:val="002C4301"/>
    <w:rPr>
      <w:color w:val="605E5C"/>
      <w:shd w:val="clear" w:color="auto" w:fill="E1DFDD"/>
    </w:rPr>
  </w:style>
  <w:style w:type="paragraph" w:customStyle="1" w:styleId="Paragrafo">
    <w:name w:val="Paragrafo"/>
    <w:link w:val="ParagrafoCarattere"/>
    <w:uiPriority w:val="99"/>
    <w:qFormat/>
    <w:rsid w:val="001034F3"/>
    <w:pPr>
      <w:keepNext/>
      <w:spacing w:before="625" w:after="375" w:line="290" w:lineRule="exact"/>
      <w:ind w:left="284" w:hanging="284"/>
      <w:jc w:val="both"/>
    </w:pPr>
    <w:rPr>
      <w:rFonts w:ascii="Simoncini Garamond Std" w:eastAsia="Times New Roman" w:hAnsi="Simoncini Garamond Std" w:cs="Friz Quadrata"/>
      <w:bCs/>
      <w:smallCaps/>
      <w:sz w:val="24"/>
      <w:szCs w:val="25"/>
    </w:rPr>
  </w:style>
  <w:style w:type="character" w:styleId="Numeropagina">
    <w:name w:val="page number"/>
    <w:qFormat/>
    <w:rsid w:val="001B6603"/>
    <w:rPr>
      <w:rFonts w:cs="Times New Roman"/>
    </w:rPr>
  </w:style>
  <w:style w:type="paragraph" w:styleId="Testonotaapidipagina">
    <w:name w:val="footnote text"/>
    <w:link w:val="TestonotaapidipaginaCarattere"/>
    <w:qFormat/>
    <w:rsid w:val="00D9053A"/>
    <w:pPr>
      <w:widowControl w:val="0"/>
      <w:spacing w:before="60" w:line="206" w:lineRule="exact"/>
      <w:ind w:firstLine="284"/>
      <w:jc w:val="both"/>
    </w:pPr>
    <w:rPr>
      <w:rFonts w:ascii="Simoncini Garamond Std" w:eastAsia="Times New Roman" w:hAnsi="Simoncini Garamond Std"/>
      <w:sz w:val="18"/>
      <w:szCs w:val="19"/>
    </w:rPr>
  </w:style>
  <w:style w:type="character" w:customStyle="1" w:styleId="TestonotaapidipaginaCarattere">
    <w:name w:val="Testo nota a piè di pagina Carattere"/>
    <w:link w:val="Testonotaapidipagina"/>
    <w:qFormat/>
    <w:rsid w:val="00D9053A"/>
    <w:rPr>
      <w:rFonts w:ascii="Simoncini Garamond Std" w:eastAsia="Times New Roman" w:hAnsi="Simoncini Garamond Std"/>
      <w:sz w:val="18"/>
      <w:szCs w:val="19"/>
    </w:rPr>
  </w:style>
  <w:style w:type="character" w:styleId="Rimandonotaapidipagina">
    <w:name w:val="footnote reference"/>
    <w:semiHidden/>
    <w:qFormat/>
    <w:rsid w:val="001B6603"/>
    <w:rPr>
      <w:rFonts w:cs="Times New Roman"/>
      <w:vertAlign w:val="superscript"/>
    </w:rPr>
  </w:style>
  <w:style w:type="paragraph" w:customStyle="1" w:styleId="Capoverso">
    <w:name w:val="Capoverso"/>
    <w:link w:val="CapoversoCarattere"/>
    <w:uiPriority w:val="99"/>
    <w:rsid w:val="00D9053A"/>
    <w:pPr>
      <w:widowControl w:val="0"/>
      <w:spacing w:line="252" w:lineRule="exact"/>
      <w:ind w:firstLine="284"/>
      <w:jc w:val="both"/>
    </w:pPr>
    <w:rPr>
      <w:rFonts w:ascii="Simoncini Garamond Std" w:eastAsia="Times New Roman" w:hAnsi="Simoncini Garamond Std"/>
      <w:sz w:val="22"/>
      <w:szCs w:val="22"/>
    </w:rPr>
  </w:style>
  <w:style w:type="paragraph" w:customStyle="1" w:styleId="TitolodelCapitolo">
    <w:name w:val="Titolo del Capitolo"/>
    <w:qFormat/>
    <w:rsid w:val="00A553ED"/>
    <w:pPr>
      <w:widowControl w:val="0"/>
      <w:spacing w:line="320" w:lineRule="exact"/>
      <w:jc w:val="center"/>
    </w:pPr>
    <w:rPr>
      <w:rFonts w:ascii="Simoncini Garamond Std" w:eastAsia="MS Mincho" w:hAnsi="Simoncini Garamond Std"/>
      <w:b/>
      <w:caps/>
      <w:sz w:val="28"/>
      <w:szCs w:val="28"/>
    </w:rPr>
  </w:style>
  <w:style w:type="paragraph" w:customStyle="1" w:styleId="Sommario">
    <w:name w:val="Sommario"/>
    <w:uiPriority w:val="99"/>
    <w:rsid w:val="0059712B"/>
    <w:pPr>
      <w:widowControl w:val="0"/>
      <w:spacing w:before="500" w:after="750" w:line="222" w:lineRule="exact"/>
      <w:ind w:left="284" w:hanging="284"/>
      <w:jc w:val="both"/>
    </w:pPr>
    <w:rPr>
      <w:rFonts w:ascii="Simoncini Garamond Std" w:eastAsia="Times New Roman" w:hAnsi="Simoncini Garamond Std"/>
      <w:sz w:val="19"/>
      <w:szCs w:val="19"/>
    </w:rPr>
  </w:style>
  <w:style w:type="paragraph" w:styleId="Intestazione">
    <w:name w:val="header"/>
    <w:link w:val="IntestazioneCarattere"/>
    <w:semiHidden/>
    <w:qFormat/>
    <w:rsid w:val="00D870FE"/>
    <w:pPr>
      <w:tabs>
        <w:tab w:val="center" w:pos="3629"/>
        <w:tab w:val="right" w:pos="7258"/>
      </w:tabs>
      <w:spacing w:line="240" w:lineRule="exact"/>
    </w:pPr>
    <w:rPr>
      <w:rFonts w:eastAsia="Times New Roman" w:cs="Calibri"/>
      <w:sz w:val="19"/>
    </w:rPr>
  </w:style>
  <w:style w:type="character" w:customStyle="1" w:styleId="IntestazioneCarattere">
    <w:name w:val="Intestazione Carattere"/>
    <w:link w:val="Intestazione"/>
    <w:semiHidden/>
    <w:rsid w:val="00BA70DC"/>
    <w:rPr>
      <w:rFonts w:eastAsia="Times New Roman" w:cs="Calibri"/>
      <w:sz w:val="19"/>
    </w:rPr>
  </w:style>
  <w:style w:type="paragraph" w:customStyle="1" w:styleId="DicituraCapitolo">
    <w:name w:val="Dicitura Capitolo"/>
    <w:uiPriority w:val="99"/>
    <w:rsid w:val="00F26784"/>
    <w:pPr>
      <w:widowControl w:val="0"/>
      <w:pBdr>
        <w:bottom w:val="single" w:sz="4" w:space="3" w:color="A6A6A6"/>
      </w:pBdr>
      <w:spacing w:before="1260" w:after="120" w:line="320" w:lineRule="exact"/>
      <w:jc w:val="center"/>
    </w:pPr>
    <w:rPr>
      <w:rFonts w:ascii="Simoncini Garamond Std" w:eastAsia="MS Mincho" w:hAnsi="Simoncini Garamond Std"/>
      <w:b/>
      <w:smallCaps/>
      <w:sz w:val="28"/>
      <w:szCs w:val="30"/>
    </w:rPr>
  </w:style>
  <w:style w:type="character" w:customStyle="1" w:styleId="Titolo1Carattere">
    <w:name w:val="Titolo 1 Carattere"/>
    <w:link w:val="Titolo1"/>
    <w:uiPriority w:val="1"/>
    <w:rsid w:val="00BA70DC"/>
    <w:rPr>
      <w:rFonts w:ascii="Calibri Light" w:hAnsi="Calibri Light"/>
      <w:b/>
      <w:bCs/>
      <w:noProof/>
      <w:kern w:val="32"/>
      <w:sz w:val="32"/>
      <w:szCs w:val="32"/>
      <w:lang w:eastAsia="zh-TW"/>
    </w:rPr>
  </w:style>
  <w:style w:type="paragraph" w:styleId="Pidipagina">
    <w:name w:val="footer"/>
    <w:basedOn w:val="Normale"/>
    <w:link w:val="PidipaginaCarattere"/>
    <w:uiPriority w:val="99"/>
    <w:semiHidden/>
    <w:qFormat/>
    <w:rsid w:val="001B6603"/>
    <w:pPr>
      <w:tabs>
        <w:tab w:val="center" w:pos="4819"/>
        <w:tab w:val="right" w:pos="9638"/>
      </w:tabs>
    </w:pPr>
  </w:style>
  <w:style w:type="character" w:customStyle="1" w:styleId="PidipaginaCarattere">
    <w:name w:val="Piè di pagina Carattere"/>
    <w:link w:val="Pidipagina"/>
    <w:uiPriority w:val="99"/>
    <w:semiHidden/>
    <w:rsid w:val="00BA70DC"/>
    <w:rPr>
      <w:noProof/>
      <w:sz w:val="22"/>
      <w:szCs w:val="22"/>
      <w:lang w:eastAsia="zh-TW"/>
    </w:rPr>
  </w:style>
  <w:style w:type="paragraph" w:customStyle="1" w:styleId="Sottoparagrafo">
    <w:name w:val="Sottoparagrafo"/>
    <w:link w:val="SottoparagrafoCarattere"/>
    <w:uiPriority w:val="99"/>
    <w:rsid w:val="005C3AD0"/>
    <w:pPr>
      <w:widowControl w:val="0"/>
      <w:spacing w:before="500" w:after="250" w:line="280" w:lineRule="exact"/>
      <w:ind w:left="284" w:hanging="284"/>
      <w:jc w:val="both"/>
    </w:pPr>
    <w:rPr>
      <w:rFonts w:ascii="Simoncini Garamond Std" w:eastAsia="Times New Roman" w:hAnsi="Simoncini Garamond Std" w:cs="Simoncini Garamond"/>
      <w:i/>
      <w:iCs/>
      <w:sz w:val="24"/>
      <w:szCs w:val="25"/>
    </w:rPr>
  </w:style>
  <w:style w:type="paragraph" w:customStyle="1" w:styleId="TitolodellaParte">
    <w:name w:val="Titolo della Parte"/>
    <w:next w:val="Normale"/>
    <w:qFormat/>
    <w:rsid w:val="000F75F2"/>
    <w:pPr>
      <w:widowControl w:val="0"/>
      <w:spacing w:line="320" w:lineRule="exact"/>
      <w:jc w:val="center"/>
    </w:pPr>
    <w:rPr>
      <w:rFonts w:ascii="Simoncini Garamond Std" w:eastAsia="MS Mincho" w:hAnsi="Simoncini Garamond Std"/>
      <w:caps/>
      <w:sz w:val="27"/>
      <w:szCs w:val="32"/>
    </w:rPr>
  </w:style>
  <w:style w:type="paragraph" w:customStyle="1" w:styleId="DicituraParte">
    <w:name w:val="Dicitura Parte"/>
    <w:qFormat/>
    <w:rsid w:val="000F75F2"/>
    <w:pPr>
      <w:widowControl w:val="0"/>
      <w:spacing w:before="750" w:after="120" w:line="300" w:lineRule="exact"/>
      <w:jc w:val="center"/>
    </w:pPr>
    <w:rPr>
      <w:rFonts w:ascii="Simoncini Garamond Std" w:eastAsia="MS Mincho" w:hAnsi="Simoncini Garamond Std"/>
      <w:smallCaps/>
      <w:sz w:val="27"/>
      <w:szCs w:val="30"/>
    </w:rPr>
  </w:style>
  <w:style w:type="paragraph" w:customStyle="1" w:styleId="Sottosottoparagrafo">
    <w:name w:val="Sottosottoparagrafo"/>
    <w:qFormat/>
    <w:rsid w:val="005C3AD0"/>
    <w:pPr>
      <w:widowControl w:val="0"/>
      <w:spacing w:before="375" w:after="125" w:line="260" w:lineRule="exact"/>
      <w:ind w:left="284" w:hanging="284"/>
      <w:jc w:val="both"/>
    </w:pPr>
    <w:rPr>
      <w:rFonts w:ascii="Simoncini Garamond Std" w:eastAsia="Times New Roman" w:hAnsi="Simoncini Garamond Std" w:cs="Friz Quadrata"/>
      <w:bCs/>
      <w:i/>
      <w:sz w:val="23"/>
      <w:szCs w:val="25"/>
    </w:rPr>
  </w:style>
  <w:style w:type="character" w:customStyle="1" w:styleId="Sommario-dicitura">
    <w:name w:val="Sommario - dicitura"/>
    <w:uiPriority w:val="1"/>
    <w:qFormat/>
    <w:rsid w:val="00D975E1"/>
    <w:rPr>
      <w:rFonts w:ascii="Simoncini Garamond Std" w:hAnsi="Simoncini Garamond Std"/>
      <w:b w:val="0"/>
      <w:i w:val="0"/>
      <w:caps w:val="0"/>
      <w:smallCaps/>
    </w:rPr>
  </w:style>
  <w:style w:type="character" w:customStyle="1" w:styleId="Titolo2Carattere">
    <w:name w:val="Titolo 2 Carattere"/>
    <w:link w:val="Titolo2"/>
    <w:uiPriority w:val="9"/>
    <w:rsid w:val="00BA70DC"/>
    <w:rPr>
      <w:rFonts w:ascii="Calibri Light" w:hAnsi="Calibri Light"/>
      <w:b/>
      <w:bCs/>
      <w:color w:val="4472C4"/>
      <w:sz w:val="26"/>
      <w:szCs w:val="26"/>
    </w:rPr>
  </w:style>
  <w:style w:type="character" w:customStyle="1" w:styleId="Titolo5Carattere">
    <w:name w:val="Titolo 5 Carattere"/>
    <w:link w:val="Titolo5"/>
    <w:uiPriority w:val="99"/>
    <w:rsid w:val="00BA70DC"/>
    <w:rPr>
      <w:rFonts w:ascii="Calibri Light" w:hAnsi="Calibri Light"/>
      <w:color w:val="1F3763"/>
      <w:sz w:val="22"/>
      <w:szCs w:val="22"/>
      <w:lang w:eastAsia="en-US"/>
    </w:rPr>
  </w:style>
  <w:style w:type="paragraph" w:styleId="Revisione">
    <w:name w:val="Revision"/>
    <w:hidden/>
    <w:uiPriority w:val="99"/>
    <w:rsid w:val="008A5AD3"/>
    <w:rPr>
      <w:rFonts w:ascii="Times" w:eastAsia="Times New Roman" w:hAnsi="Times"/>
      <w:sz w:val="22"/>
      <w:szCs w:val="24"/>
    </w:rPr>
  </w:style>
  <w:style w:type="paragraph" w:customStyle="1" w:styleId="Autore">
    <w:name w:val="Autore"/>
    <w:qFormat/>
    <w:rsid w:val="000F75F2"/>
    <w:pPr>
      <w:widowControl w:val="0"/>
      <w:tabs>
        <w:tab w:val="left" w:pos="8070"/>
      </w:tabs>
      <w:spacing w:before="250" w:line="300" w:lineRule="exact"/>
      <w:jc w:val="center"/>
    </w:pPr>
    <w:rPr>
      <w:rFonts w:ascii="Simoncini Garamond Std" w:hAnsi="Simoncini Garamond Std"/>
      <w:i/>
      <w:sz w:val="25"/>
      <w:szCs w:val="25"/>
      <w:lang w:eastAsia="zh-TW"/>
    </w:rPr>
  </w:style>
  <w:style w:type="paragraph" w:customStyle="1" w:styleId="Capoversospazioprima">
    <w:name w:val="Capoverso spazio prima"/>
    <w:qFormat/>
    <w:rsid w:val="00A553ED"/>
    <w:pPr>
      <w:spacing w:before="126" w:line="250" w:lineRule="exact"/>
      <w:ind w:firstLine="284"/>
      <w:jc w:val="both"/>
    </w:pPr>
    <w:rPr>
      <w:rFonts w:ascii="Simoncini Garamond Std" w:eastAsia="Times New Roman" w:hAnsi="Simoncini Garamond Std"/>
      <w:sz w:val="22"/>
      <w:szCs w:val="22"/>
    </w:rPr>
  </w:style>
  <w:style w:type="paragraph" w:customStyle="1" w:styleId="Capoversospaziodopo">
    <w:name w:val="Capoverso spazio dopo"/>
    <w:qFormat/>
    <w:rsid w:val="00A553ED"/>
    <w:pPr>
      <w:spacing w:after="126" w:line="250" w:lineRule="exact"/>
      <w:ind w:firstLine="284"/>
      <w:jc w:val="both"/>
    </w:pPr>
    <w:rPr>
      <w:rFonts w:ascii="Simoncini Garamond Std" w:eastAsia="Times New Roman" w:hAnsi="Simoncini Garamond Std"/>
      <w:sz w:val="22"/>
      <w:szCs w:val="22"/>
    </w:rPr>
  </w:style>
  <w:style w:type="paragraph" w:styleId="Bibliografia">
    <w:name w:val="Bibliography"/>
    <w:next w:val="Normale"/>
    <w:uiPriority w:val="37"/>
    <w:rsid w:val="003E7A05"/>
    <w:pPr>
      <w:spacing w:line="230" w:lineRule="exact"/>
      <w:ind w:firstLine="284"/>
      <w:jc w:val="both"/>
    </w:pPr>
    <w:rPr>
      <w:rFonts w:ascii="Simoncini Garamond Std" w:eastAsiaTheme="minorHAnsi" w:hAnsi="Simoncini Garamond Std" w:cstheme="minorBidi"/>
      <w:szCs w:val="22"/>
      <w:lang w:eastAsia="en-US"/>
    </w:rPr>
  </w:style>
  <w:style w:type="paragraph" w:customStyle="1" w:styleId="Autoriindice">
    <w:name w:val="Autori indice"/>
    <w:qFormat/>
    <w:rsid w:val="0070422F"/>
    <w:pPr>
      <w:spacing w:after="230" w:line="230" w:lineRule="exact"/>
      <w:ind w:left="284" w:hanging="284"/>
      <w:jc w:val="both"/>
    </w:pPr>
    <w:rPr>
      <w:rFonts w:ascii="Simoncini Garamond Std" w:eastAsiaTheme="minorHAnsi" w:hAnsi="Simoncini Garamond Std" w:cstheme="minorBidi"/>
      <w:szCs w:val="22"/>
      <w:lang w:eastAsia="en-US"/>
    </w:rPr>
  </w:style>
  <w:style w:type="paragraph" w:customStyle="1" w:styleId="Intermedio">
    <w:name w:val="Intermedio"/>
    <w:qFormat/>
    <w:rsid w:val="005C3AD0"/>
    <w:pPr>
      <w:spacing w:before="230" w:after="230" w:line="230" w:lineRule="exact"/>
      <w:ind w:left="284" w:firstLine="284"/>
      <w:jc w:val="both"/>
    </w:pPr>
    <w:rPr>
      <w:rFonts w:ascii="Simoncini Garamond Std" w:eastAsia="Times New Roman" w:hAnsi="Simoncini Garamond Std"/>
      <w:szCs w:val="22"/>
    </w:rPr>
  </w:style>
  <w:style w:type="paragraph" w:customStyle="1" w:styleId="TitolodellaSezione">
    <w:name w:val="Titolo della Sezione"/>
    <w:qFormat/>
    <w:rsid w:val="0015150E"/>
    <w:pPr>
      <w:spacing w:before="750" w:line="300" w:lineRule="exact"/>
      <w:jc w:val="center"/>
    </w:pPr>
    <w:rPr>
      <w:rFonts w:ascii="Simoncini Garamond Std" w:hAnsi="Simoncini Garamond Std"/>
      <w:smallCaps/>
      <w:noProof/>
      <w:sz w:val="27"/>
      <w:szCs w:val="22"/>
      <w:lang w:eastAsia="zh-TW"/>
    </w:rPr>
  </w:style>
  <w:style w:type="character" w:customStyle="1" w:styleId="Titolo3Carattere">
    <w:name w:val="Titolo 3 Carattere"/>
    <w:basedOn w:val="Carpredefinitoparagrafo"/>
    <w:link w:val="Titolo3"/>
    <w:uiPriority w:val="99"/>
    <w:rsid w:val="00BA70DC"/>
    <w:rPr>
      <w:rFonts w:ascii="Arial" w:eastAsia="Times New Roman" w:hAnsi="Arial" w:cs="Arial"/>
      <w:b/>
      <w:bCs/>
      <w:sz w:val="26"/>
      <w:szCs w:val="26"/>
    </w:rPr>
  </w:style>
  <w:style w:type="character" w:customStyle="1" w:styleId="Titolo4Carattere">
    <w:name w:val="Titolo 4 Carattere"/>
    <w:basedOn w:val="Carpredefinitoparagrafo"/>
    <w:link w:val="Titolo4"/>
    <w:uiPriority w:val="99"/>
    <w:rsid w:val="00BA70DC"/>
    <w:rPr>
      <w:rFonts w:ascii="Arial Unicode MS" w:eastAsia="Arial Unicode MS" w:hAnsi="Arial Unicode MS" w:cs="Arial Unicode MS"/>
      <w:b/>
      <w:bCs/>
      <w:sz w:val="24"/>
      <w:szCs w:val="24"/>
    </w:rPr>
  </w:style>
  <w:style w:type="character" w:customStyle="1" w:styleId="Titolo6Carattere">
    <w:name w:val="Titolo 6 Carattere"/>
    <w:basedOn w:val="Carpredefinitoparagrafo"/>
    <w:link w:val="Titolo6"/>
    <w:rsid w:val="00BA70DC"/>
    <w:rPr>
      <w:rFonts w:ascii="Book Antiqua" w:eastAsia="Times New Roman" w:hAnsi="Book Antiqua" w:cs="Courier New"/>
      <w:bCs/>
      <w:color w:val="000000"/>
      <w:sz w:val="24"/>
      <w:szCs w:val="23"/>
    </w:rPr>
  </w:style>
  <w:style w:type="character" w:customStyle="1" w:styleId="Titolo7Carattere">
    <w:name w:val="Titolo 7 Carattere"/>
    <w:basedOn w:val="Carpredefinitoparagrafo"/>
    <w:link w:val="Titolo7"/>
    <w:rsid w:val="00BA70DC"/>
    <w:rPr>
      <w:rFonts w:ascii="Book Antiqua" w:eastAsia="Times New Roman" w:hAnsi="Book Antiqua" w:cs="Courier New"/>
      <w:color w:val="000000"/>
      <w:sz w:val="24"/>
      <w:szCs w:val="24"/>
    </w:rPr>
  </w:style>
  <w:style w:type="character" w:customStyle="1" w:styleId="Titolo8Carattere">
    <w:name w:val="Titolo 8 Carattere"/>
    <w:basedOn w:val="Carpredefinitoparagrafo"/>
    <w:link w:val="Titolo8"/>
    <w:rsid w:val="00BA70DC"/>
    <w:rPr>
      <w:rFonts w:ascii="Book Antiqua" w:eastAsia="Times New Roman" w:hAnsi="Book Antiqua" w:cs="Courier New"/>
      <w:iCs/>
      <w:color w:val="000000"/>
      <w:sz w:val="24"/>
      <w:szCs w:val="24"/>
    </w:rPr>
  </w:style>
  <w:style w:type="character" w:customStyle="1" w:styleId="Titolo9Carattere">
    <w:name w:val="Titolo 9 Carattere"/>
    <w:basedOn w:val="Carpredefinitoparagrafo"/>
    <w:link w:val="Titolo9"/>
    <w:rsid w:val="00BA70DC"/>
    <w:rPr>
      <w:rFonts w:ascii="Book Antiqua" w:eastAsia="Times New Roman" w:hAnsi="Book Antiqua" w:cs="Courier New"/>
      <w:color w:val="000000"/>
      <w:sz w:val="24"/>
      <w:szCs w:val="23"/>
    </w:rPr>
  </w:style>
  <w:style w:type="character" w:customStyle="1" w:styleId="CapoversoCarattere">
    <w:name w:val="Capoverso Carattere"/>
    <w:link w:val="Capoverso"/>
    <w:uiPriority w:val="99"/>
    <w:rsid w:val="00D9053A"/>
    <w:rPr>
      <w:rFonts w:ascii="Simoncini Garamond Std" w:eastAsia="Times New Roman" w:hAnsi="Simoncini Garamond Std"/>
      <w:sz w:val="22"/>
      <w:szCs w:val="22"/>
    </w:rPr>
  </w:style>
  <w:style w:type="table" w:styleId="Grigliatabella">
    <w:name w:val="Table Grid"/>
    <w:basedOn w:val="Tabellanormale"/>
    <w:uiPriority w:val="99"/>
    <w:rsid w:val="00CC6E3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oversorigabianca">
    <w:name w:val="Capoverso riga bianca"/>
    <w:basedOn w:val="Capoverso"/>
    <w:qFormat/>
    <w:rsid w:val="00CC6E33"/>
    <w:pPr>
      <w:spacing w:before="250" w:line="250" w:lineRule="exact"/>
    </w:pPr>
    <w:rPr>
      <w:rFonts w:cs="Courier New"/>
      <w:szCs w:val="23"/>
    </w:rPr>
  </w:style>
  <w:style w:type="character" w:customStyle="1" w:styleId="ParagrafoCarattere">
    <w:name w:val="Paragrafo Carattere"/>
    <w:link w:val="Paragrafo"/>
    <w:uiPriority w:val="99"/>
    <w:rsid w:val="001034F3"/>
    <w:rPr>
      <w:rFonts w:ascii="Simoncini Garamond Std" w:eastAsia="Times New Roman" w:hAnsi="Simoncini Garamond Std" w:cs="Friz Quadrata"/>
      <w:bCs/>
      <w:smallCaps/>
      <w:sz w:val="24"/>
      <w:szCs w:val="25"/>
    </w:rPr>
  </w:style>
  <w:style w:type="character" w:customStyle="1" w:styleId="SottoparagrafoCarattere">
    <w:name w:val="Sottoparagrafo Carattere"/>
    <w:link w:val="Sottoparagrafo"/>
    <w:rsid w:val="00CC6E33"/>
    <w:rPr>
      <w:rFonts w:ascii="Simoncini Garamond Std" w:eastAsia="Times New Roman" w:hAnsi="Simoncini Garamond Std" w:cs="Simoncini Garamond"/>
      <w:i/>
      <w:iCs/>
      <w:sz w:val="24"/>
      <w:szCs w:val="25"/>
    </w:rPr>
  </w:style>
  <w:style w:type="paragraph" w:customStyle="1" w:styleId="MediumList2-Accent21">
    <w:name w:val="Medium List 2 - Accent 21"/>
    <w:hidden/>
    <w:uiPriority w:val="99"/>
    <w:semiHidden/>
    <w:rsid w:val="00927EE7"/>
    <w:rPr>
      <w:rFonts w:ascii="Cambria" w:eastAsia="MS Mincho" w:hAnsi="Cambria"/>
      <w:sz w:val="21"/>
      <w:szCs w:val="21"/>
      <w:lang w:eastAsia="en-US"/>
    </w:rPr>
  </w:style>
  <w:style w:type="paragraph" w:customStyle="1" w:styleId="ColorfulShading-Accent11">
    <w:name w:val="Colorful Shading - Accent 11"/>
    <w:hidden/>
    <w:uiPriority w:val="71"/>
    <w:unhideWhenUsed/>
    <w:rsid w:val="00927EE7"/>
    <w:rPr>
      <w:rFonts w:ascii="Times New Roman" w:eastAsia="Times New Roman" w:hAnsi="Times New Roman"/>
      <w:sz w:val="24"/>
      <w:szCs w:val="24"/>
    </w:rPr>
  </w:style>
  <w:style w:type="paragraph" w:styleId="Testofumetto">
    <w:name w:val="Balloon Text"/>
    <w:basedOn w:val="Normale"/>
    <w:link w:val="TestofumettoCarattere"/>
    <w:uiPriority w:val="99"/>
    <w:semiHidden/>
    <w:unhideWhenUsed/>
    <w:rsid w:val="00F727AE"/>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727AE"/>
    <w:rPr>
      <w:rFonts w:ascii="Segoe UI" w:hAnsi="Segoe UI" w:cs="Segoe UI"/>
      <w:noProof/>
      <w:sz w:val="18"/>
      <w:szCs w:val="18"/>
      <w:lang w:eastAsia="zh-TW"/>
    </w:rPr>
  </w:style>
  <w:style w:type="paragraph" w:styleId="NormaleWeb">
    <w:name w:val="Normal (Web)"/>
    <w:basedOn w:val="Normale"/>
    <w:uiPriority w:val="99"/>
    <w:semiHidden/>
    <w:unhideWhenUsed/>
    <w:rsid w:val="00413965"/>
    <w:rPr>
      <w:rFonts w:ascii="Times New Roman" w:hAnsi="Times New Roman"/>
      <w:sz w:val="24"/>
      <w:szCs w:val="24"/>
    </w:rPr>
  </w:style>
  <w:style w:type="character" w:styleId="Collegamentoipertestuale">
    <w:name w:val="Hyperlink"/>
    <w:basedOn w:val="Carpredefinitoparagrafo"/>
    <w:uiPriority w:val="99"/>
    <w:unhideWhenUsed/>
    <w:rsid w:val="00B271FB"/>
    <w:rPr>
      <w:color w:val="0563C1" w:themeColor="hyperlink"/>
      <w:u w:val="single"/>
    </w:rPr>
  </w:style>
  <w:style w:type="character" w:styleId="Menzionenonrisolta">
    <w:name w:val="Unresolved Mention"/>
    <w:basedOn w:val="Carpredefinitoparagrafo"/>
    <w:uiPriority w:val="99"/>
    <w:semiHidden/>
    <w:unhideWhenUsed/>
    <w:rsid w:val="003058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25761">
      <w:bodyDiv w:val="1"/>
      <w:marLeft w:val="0"/>
      <w:marRight w:val="0"/>
      <w:marTop w:val="0"/>
      <w:marBottom w:val="0"/>
      <w:divBdr>
        <w:top w:val="none" w:sz="0" w:space="0" w:color="auto"/>
        <w:left w:val="none" w:sz="0" w:space="0" w:color="auto"/>
        <w:bottom w:val="none" w:sz="0" w:space="0" w:color="auto"/>
        <w:right w:val="none" w:sz="0" w:space="0" w:color="auto"/>
      </w:divBdr>
    </w:div>
    <w:div w:id="51075372">
      <w:bodyDiv w:val="1"/>
      <w:marLeft w:val="0"/>
      <w:marRight w:val="0"/>
      <w:marTop w:val="0"/>
      <w:marBottom w:val="0"/>
      <w:divBdr>
        <w:top w:val="none" w:sz="0" w:space="0" w:color="auto"/>
        <w:left w:val="none" w:sz="0" w:space="0" w:color="auto"/>
        <w:bottom w:val="none" w:sz="0" w:space="0" w:color="auto"/>
        <w:right w:val="none" w:sz="0" w:space="0" w:color="auto"/>
      </w:divBdr>
    </w:div>
    <w:div w:id="1194617245">
      <w:bodyDiv w:val="1"/>
      <w:marLeft w:val="0"/>
      <w:marRight w:val="0"/>
      <w:marTop w:val="0"/>
      <w:marBottom w:val="0"/>
      <w:divBdr>
        <w:top w:val="none" w:sz="0" w:space="0" w:color="auto"/>
        <w:left w:val="none" w:sz="0" w:space="0" w:color="auto"/>
        <w:bottom w:val="none" w:sz="0" w:space="0" w:color="auto"/>
        <w:right w:val="none" w:sz="0" w:space="0" w:color="auto"/>
      </w:divBdr>
    </w:div>
    <w:div w:id="1375081234">
      <w:bodyDiv w:val="1"/>
      <w:marLeft w:val="0"/>
      <w:marRight w:val="0"/>
      <w:marTop w:val="0"/>
      <w:marBottom w:val="0"/>
      <w:divBdr>
        <w:top w:val="none" w:sz="0" w:space="0" w:color="auto"/>
        <w:left w:val="none" w:sz="0" w:space="0" w:color="auto"/>
        <w:bottom w:val="none" w:sz="0" w:space="0" w:color="auto"/>
        <w:right w:val="none" w:sz="0" w:space="0" w:color="auto"/>
      </w:divBdr>
    </w:div>
    <w:div w:id="1552574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FF4428-ADEF-DD45-A50E-8E992052A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17485</Words>
  <Characters>99666</Characters>
  <Application>Microsoft Office Word</Application>
  <DocSecurity>0</DocSecurity>
  <Lines>830</Lines>
  <Paragraphs>233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116918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Mariano Cirigliano</dc:creator>
  <cp:keywords/>
  <dc:description/>
  <cp:lastModifiedBy>roberto mastroianni</cp:lastModifiedBy>
  <cp:revision>2</cp:revision>
  <cp:lastPrinted>2024-11-28T09:39:00Z</cp:lastPrinted>
  <dcterms:created xsi:type="dcterms:W3CDTF">2025-03-21T17:17:00Z</dcterms:created>
  <dcterms:modified xsi:type="dcterms:W3CDTF">2025-03-21T17:17:00Z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2024-10-29T09:15:05Z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4d6bf30e-5d18-4b1b-9e97-4e0156716627</vt:lpwstr>
  </property>
  <property fmtid="{D5CDD505-2E9C-101B-9397-08002B2CF9AE}" pid="8" name="MSIP_Label_2ad0b24d-6422-44b0-b3de-abb3a9e8c81a_ContentBits">
    <vt:lpwstr>0</vt:lpwstr>
  </property>
</Properties>
</file>