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AF1BB" w14:textId="77777777" w:rsidR="002C4301" w:rsidRPr="00CD1630" w:rsidRDefault="002C4301" w:rsidP="002C4301">
      <w:pPr>
        <w:pStyle w:val="DicituraCapitolo"/>
      </w:pPr>
      <w:r w:rsidRPr="00153074">
        <w:t>Capitolo</w:t>
      </w:r>
      <w:r>
        <w:t xml:space="preserve"> Settimo</w:t>
      </w:r>
    </w:p>
    <w:p w14:paraId="53088054" w14:textId="77777777" w:rsidR="002C4301" w:rsidRPr="00CD1630" w:rsidRDefault="002C4301" w:rsidP="002C4301">
      <w:pPr>
        <w:pStyle w:val="TitolodelCapitolo"/>
      </w:pPr>
      <w:r w:rsidRPr="00213335">
        <w:t xml:space="preserve">Il </w:t>
      </w:r>
      <w:r>
        <w:t>rinvio pregiudiziale</w:t>
      </w:r>
    </w:p>
    <w:p w14:paraId="082FF7DA" w14:textId="77777777" w:rsidR="002C4301" w:rsidRPr="00AE6D2D" w:rsidRDefault="002C4301" w:rsidP="002C4301">
      <w:pPr>
        <w:pStyle w:val="Autore"/>
      </w:pPr>
      <w:r>
        <w:rPr>
          <w:i w:val="0"/>
        </w:rPr>
        <w:t xml:space="preserve">di </w:t>
      </w:r>
      <w:r w:rsidRPr="00AE6D2D">
        <w:t>Roberto Mastroianni</w:t>
      </w:r>
      <w:r w:rsidR="00487D01">
        <w:rPr>
          <w:vertAlign w:val="superscript"/>
        </w:rPr>
        <w:t> </w:t>
      </w:r>
      <w:r w:rsidRPr="00CD1630">
        <w:rPr>
          <w:rStyle w:val="Rimandonotaapidipagina"/>
          <w:i w:val="0"/>
          <w:iCs/>
        </w:rPr>
        <w:footnoteReference w:customMarkFollows="1" w:id="2"/>
        <w:t>*</w:t>
      </w:r>
      <w:r w:rsidRPr="00AE6D2D">
        <w:t xml:space="preserve"> </w:t>
      </w:r>
      <w:r w:rsidRPr="00CA4012">
        <w:rPr>
          <w:i w:val="0"/>
          <w:iCs/>
        </w:rPr>
        <w:t>e</w:t>
      </w:r>
      <w:r w:rsidRPr="00AE6D2D">
        <w:t xml:space="preserve"> Fabio Ferraro</w:t>
      </w:r>
    </w:p>
    <w:p w14:paraId="334417CD" w14:textId="77777777" w:rsidR="002C4301" w:rsidRDefault="002C4301" w:rsidP="002C4301">
      <w:pPr>
        <w:pStyle w:val="Sommario"/>
      </w:pPr>
      <w:r w:rsidRPr="00352DE6">
        <w:rPr>
          <w:rStyle w:val="Sommario-dicitura"/>
        </w:rPr>
        <w:t>Sommario:</w:t>
      </w:r>
      <w:r w:rsidRPr="005E12EB">
        <w:t xml:space="preserve"> </w:t>
      </w:r>
      <w:r w:rsidRPr="00774FBF">
        <w:t>1. Introduzione: il rinvio pregiudiziale come “chiave di volta” del sistema giurisdizionale dell</w:t>
      </w:r>
      <w:r>
        <w:t>’</w:t>
      </w:r>
      <w:r w:rsidRPr="00774FBF">
        <w:t>Unione. – 2. Il riparto della competenza pregiudiziale tra la Corte ed il Tribunale. – 3. Il rinvio del giudice nazionale: profili soggettivi. La nozione di giurisdizione. – 4. Facoltà ed obbligo di rinvio. – 4.1. Temperamenti dell</w:t>
      </w:r>
      <w:r>
        <w:t>’</w:t>
      </w:r>
      <w:r w:rsidRPr="00774FBF">
        <w:t>obbligo di rinvio. – 4.2. Facoltà di rinvio e pregiudiziale di validità. – 4.3. Violazione dell</w:t>
      </w:r>
      <w:r>
        <w:t>’</w:t>
      </w:r>
      <w:r w:rsidRPr="00774FBF">
        <w:t>obbligo di rinvio. – 5. Profili oggettivi. La ricevibilità del quesito pregiudiziale. – 6. Tempi e forme del rinvio pregiudiziale. – 7. Oggetto del giudizio interpretativo della Corte. – 7.1. Effetti delle sentenze interpretative. – 7.2. Oggetto del rinvio pregiudiziale di validità, suoi “rapporti” con il ricorso per annullamento ed effetti delle sentenze della Corte. – 8. Rinvio pregiudiziale accelerato e di urgenza. – 9. Disciplina e prassi del rinvio pregiudiziale nell</w:t>
      </w:r>
      <w:r>
        <w:t>’</w:t>
      </w:r>
      <w:r w:rsidRPr="00774FBF">
        <w:t>ordina</w:t>
      </w:r>
      <w:r w:rsidR="00487D01">
        <w:softHyphen/>
      </w:r>
      <w:r w:rsidRPr="00774FBF">
        <w:t>mento italiano.</w:t>
      </w:r>
    </w:p>
    <w:p w14:paraId="5651D063" w14:textId="77777777" w:rsidR="002C4301" w:rsidRPr="00CD1630" w:rsidRDefault="002C4301" w:rsidP="002C4301">
      <w:pPr>
        <w:pStyle w:val="Paragrafo"/>
        <w:rPr>
          <w:szCs w:val="24"/>
        </w:rPr>
      </w:pPr>
      <w:r w:rsidRPr="00190E78">
        <w:t xml:space="preserve">1. </w:t>
      </w:r>
      <w:r w:rsidRPr="002F2A96">
        <w:t>Introduzione</w:t>
      </w:r>
      <w:r w:rsidRPr="00190E78">
        <w:t>: il rinvio pregiudiziale come “chiave di volta” del sistema giurisdizionale dell</w:t>
      </w:r>
      <w:r>
        <w:t>’</w:t>
      </w:r>
      <w:r w:rsidRPr="00190E78">
        <w:t>Unione</w:t>
      </w:r>
    </w:p>
    <w:p w14:paraId="1BB459A8" w14:textId="2E812124" w:rsidR="002C4301" w:rsidRPr="00067EB0" w:rsidRDefault="002C4301" w:rsidP="002C4301">
      <w:pPr>
        <w:pStyle w:val="Capoverso"/>
      </w:pPr>
      <w:r w:rsidRPr="00067EB0">
        <w:t>Il rinvio pregiudiziale è, in estrema sintesi, una procedura attraverso la quale il giudice nazionale (civile, penale, amministrativo, tributario) ha la facoltà o, se di ultima istanza, l’obbligo di formulare alla Corte di giustizia un quesito circa l’interpretazione di norme dell’Unione (</w:t>
      </w:r>
      <w:r w:rsidRPr="00AE6D2D">
        <w:rPr>
          <w:i/>
        </w:rPr>
        <w:t>rinvio pregiudiziale di interpretazione</w:t>
      </w:r>
      <w:r w:rsidRPr="00067EB0">
        <w:t>) o la validità degli atti adottati dalle istituzioni (</w:t>
      </w:r>
      <w:r w:rsidRPr="00AE6D2D">
        <w:rPr>
          <w:i/>
        </w:rPr>
        <w:t>rinvio pregiudiziale di validità</w:t>
      </w:r>
      <w:r w:rsidRPr="00067EB0">
        <w:t xml:space="preserve">), allorquando la sua soluzione sia necessaria per decidere una controversia innanzi ad esso pendente. Nel </w:t>
      </w:r>
      <w:r w:rsidR="00462C45">
        <w:t>TFUE</w:t>
      </w:r>
      <w:r w:rsidRPr="00067EB0">
        <w:t xml:space="preserve"> la procedura in parola trova la sua disciplina nell’art. 267 (già art. 177 CEE, già art. 234 </w:t>
      </w:r>
      <w:r w:rsidR="00A62C78">
        <w:t>T</w:t>
      </w:r>
      <w:r w:rsidR="00462C45">
        <w:t xml:space="preserve">r. </w:t>
      </w:r>
      <w:r w:rsidRPr="00067EB0">
        <w:t>CE).</w:t>
      </w:r>
      <w:r w:rsidRPr="006E1027">
        <w:rPr>
          <w:rStyle w:val="Rimandonotaapidipagina"/>
        </w:rPr>
        <w:t> </w:t>
      </w:r>
      <w:r w:rsidRPr="006E1027">
        <w:rPr>
          <w:rStyle w:val="Rimandonotaapidipagina"/>
        </w:rPr>
        <w:footnoteReference w:id="3"/>
      </w:r>
      <w:r w:rsidRPr="00067EB0">
        <w:t>.</w:t>
      </w:r>
    </w:p>
    <w:p w14:paraId="70E046E3" w14:textId="77777777" w:rsidR="002C4301" w:rsidRPr="00067EB0" w:rsidRDefault="002C4301" w:rsidP="002C4301">
      <w:pPr>
        <w:pStyle w:val="Capoverso"/>
      </w:pPr>
      <w:r w:rsidRPr="00067EB0">
        <w:lastRenderedPageBreak/>
        <w:t xml:space="preserve">Si tratta di un meccanismo evidentemente ispirato da istituti propri degli ordinamenti nazionali e finalizzati alla verifica di costituzionalità delle leggi interne. L’obiettivo è, da un lato, offrire ai giudici nazionali, </w:t>
      </w:r>
      <w:r w:rsidRPr="00AE6D2D">
        <w:rPr>
          <w:i/>
        </w:rPr>
        <w:t>giudici comuni</w:t>
      </w:r>
      <w:r w:rsidRPr="00067EB0">
        <w:t xml:space="preserve"> del diritto dell’Unione</w:t>
      </w:r>
      <w:r w:rsidRPr="006E1027">
        <w:rPr>
          <w:rStyle w:val="Rimandonotaapidipagina"/>
        </w:rPr>
        <w:t> </w:t>
      </w:r>
      <w:r w:rsidRPr="006E1027">
        <w:rPr>
          <w:rStyle w:val="Rimandonotaapidipagina"/>
        </w:rPr>
        <w:footnoteReference w:id="4"/>
      </w:r>
      <w:r w:rsidRPr="00067EB0">
        <w:t>, uno strumento di cooperazione giudiziaria con la Corte di giustizia, un dialogo finalizzato a risolvere eventuali difficoltà nell’applicazione del diritto dell’Unione; dall’altro lato, assicurare che tale applicazione avvenga in modo uniforme negli ordinamenti di tutti gli Stati membri. Appare evidente l’utilità di un tale meccanismo per il sistema dell’Unione, caratterizzato dall’ap</w:t>
      </w:r>
      <w:r w:rsidR="00487D01">
        <w:softHyphen/>
      </w:r>
      <w:r w:rsidRPr="00067EB0">
        <w:t>plicazione giudiziale decentrata delle sue norme: come ha rimarcato la Corte stessa, l’art. 267 TFUE «è essenziale per la salvaguardia dell’indole comunitaria del diritto istituito dal trattato ed ha lo scopo di garantire in ogni caso a questo diritto la stessa efficacia in tutti gli Stati della Comunità»</w:t>
      </w:r>
      <w:r w:rsidRPr="006E1027">
        <w:rPr>
          <w:rStyle w:val="Rimandonotaapidipagina"/>
        </w:rPr>
        <w:t> </w:t>
      </w:r>
      <w:r w:rsidRPr="006E1027">
        <w:rPr>
          <w:rStyle w:val="Rimandonotaapidipagina"/>
        </w:rPr>
        <w:footnoteReference w:id="5"/>
      </w:r>
      <w:r w:rsidRPr="00067EB0">
        <w:t>. Nella giurisprudenza più recente, la Corte insiste spesso sull’importanza del meccanismo in questione, ritenuto come strumento indispensabile per assicurare la piena ed uniforme applicazione del diritto dell’Unione negli Stati membri, inclusi i diritti fondamentali, e quindi come la “chiave di volta” del sistema di tutela giurisdizionale offerto dai Trattati</w:t>
      </w:r>
      <w:r w:rsidRPr="006E1027">
        <w:rPr>
          <w:rStyle w:val="Rimandonotaapidipagina"/>
        </w:rPr>
        <w:t> </w:t>
      </w:r>
      <w:r w:rsidRPr="006E1027">
        <w:rPr>
          <w:rStyle w:val="Rimandonotaapidipagina"/>
        </w:rPr>
        <w:footnoteReference w:id="6"/>
      </w:r>
      <w:r w:rsidRPr="00067EB0">
        <w:t>.</w:t>
      </w:r>
    </w:p>
    <w:p w14:paraId="670C6FE5" w14:textId="72C89DA2" w:rsidR="002C4301" w:rsidRPr="00067EB0" w:rsidRDefault="002C4301" w:rsidP="002C4301">
      <w:pPr>
        <w:pStyle w:val="Capoverso"/>
      </w:pPr>
      <w:r w:rsidRPr="00067EB0">
        <w:t>Da parte sua la dottrina, a giusto titolo, sottolinea il ruolo che lo strumento in parola ha avuto nel processo di integrazione: garantendo un’efficace cooperazione tra Corte di giustizia e giudici nazionali, il rinvio pregiudiziale ha infatti favorito l’affermazione del diritto dell’Unione negli ordinamenti interni. Ma non solo. Il dialogo tra giurisdizioni, per definizione svincolato dal “filtro” statale, ha contribuito notevolmente a conferire all’ordinamento dell’Unione la sua attuale fisionomia, dando frutti probabilmente non previsti dagli stessi autori de</w:t>
      </w:r>
      <w:r w:rsidR="00475BAB">
        <w:t>i</w:t>
      </w:r>
      <w:r w:rsidRPr="00067EB0">
        <w:t xml:space="preserve"> trattat</w:t>
      </w:r>
      <w:r w:rsidR="00475BAB">
        <w:t>i</w:t>
      </w:r>
      <w:r w:rsidRPr="00067EB0">
        <w:t xml:space="preserve"> e così contribuendo in maniera decisiva alla </w:t>
      </w:r>
      <w:r w:rsidR="00475BAB">
        <w:t>loro</w:t>
      </w:r>
      <w:r w:rsidRPr="00067EB0">
        <w:t xml:space="preserve"> evoluzione. Non è casuale che proprio in esito a procedure di rinvio pregiudiziale la Corte abbia affermato taluni dei principi fondanti dell’ordinamento, quali, solo per citare alcuni esempi, l’efficacia diretta delle norme del trattato</w:t>
      </w:r>
      <w:r w:rsidRPr="006E1027">
        <w:rPr>
          <w:rStyle w:val="Rimandonotaapidipagina"/>
        </w:rPr>
        <w:t> </w:t>
      </w:r>
      <w:r w:rsidRPr="006E1027">
        <w:rPr>
          <w:rStyle w:val="Rimandonotaapidipagina"/>
        </w:rPr>
        <w:footnoteReference w:id="7"/>
      </w:r>
      <w:r w:rsidRPr="00067EB0">
        <w:t xml:space="preserve"> e delle direttive non attuate</w:t>
      </w:r>
      <w:r w:rsidRPr="006E1027">
        <w:rPr>
          <w:rStyle w:val="Rimandonotaapidipagina"/>
        </w:rPr>
        <w:t> </w:t>
      </w:r>
      <w:r w:rsidRPr="006E1027">
        <w:rPr>
          <w:rStyle w:val="Rimandonotaapidipagina"/>
        </w:rPr>
        <w:footnoteReference w:id="8"/>
      </w:r>
      <w:r w:rsidRPr="00067EB0">
        <w:t>, il primato del diritto dell’Unione su quelli nazionali</w:t>
      </w:r>
      <w:r w:rsidRPr="006E1027">
        <w:rPr>
          <w:rStyle w:val="Rimandonotaapidipagina"/>
        </w:rPr>
        <w:t> </w:t>
      </w:r>
      <w:r w:rsidRPr="006E1027">
        <w:rPr>
          <w:rStyle w:val="Rimandonotaapidipagina"/>
        </w:rPr>
        <w:footnoteReference w:id="9"/>
      </w:r>
      <w:r w:rsidRPr="00067EB0">
        <w:t xml:space="preserve"> e la responsabilità risarcitoria degli Stati </w:t>
      </w:r>
      <w:r w:rsidRPr="00067EB0">
        <w:lastRenderedPageBreak/>
        <w:t>membri per violazione del diritto dell’Unione</w:t>
      </w:r>
      <w:r w:rsidRPr="006E1027">
        <w:rPr>
          <w:rStyle w:val="Rimandonotaapidipagina"/>
        </w:rPr>
        <w:t> </w:t>
      </w:r>
      <w:r w:rsidRPr="006E1027">
        <w:rPr>
          <w:rStyle w:val="Rimandonotaapidipagina"/>
        </w:rPr>
        <w:footnoteReference w:id="10"/>
      </w:r>
      <w:r w:rsidRPr="00067EB0">
        <w:t>.</w:t>
      </w:r>
    </w:p>
    <w:p w14:paraId="632D80BA" w14:textId="77777777" w:rsidR="002C4301" w:rsidRPr="00067EB0" w:rsidRDefault="002C4301" w:rsidP="002C4301">
      <w:pPr>
        <w:pStyle w:val="Capoverso"/>
      </w:pPr>
      <w:r w:rsidRPr="00067EB0">
        <w:t>La procedura ha natura incidentale e non contenziosa. Non costituisce, infatti, un mezzo di ricorso autonomo, ma un incidente all’interno di un giudizio che si svolge dinanzi ad un giudice appartenente al sistema giudiziario nazionale. Inoltre, pur essendo assicurato il contraddittorio di fronte alla Corte, non si tratta di un giudizio di parti, ma di una procedura “da giudice a giudice”, per alcuni aspetti analoga al giudizio incidentale di costituzionalità nell’ordinamento italiano. Ed infatti, il rinvio può essere operato dal giudice nazionale anche d’uffi</w:t>
      </w:r>
      <w:r w:rsidR="00487D01">
        <w:softHyphen/>
      </w:r>
      <w:r w:rsidRPr="00067EB0">
        <w:t>cio, in assenza di contrasti tra le parti quanto all’esatta interpretazione ovvero alla validità della norma dell’Unione oggetto dei quesiti.</w:t>
      </w:r>
    </w:p>
    <w:p w14:paraId="63B045EC" w14:textId="2B12E512" w:rsidR="002C4301" w:rsidRPr="00067EB0" w:rsidRDefault="002C4301" w:rsidP="002C4301">
      <w:pPr>
        <w:pStyle w:val="Capoverso"/>
      </w:pPr>
      <w:r w:rsidRPr="00067EB0">
        <w:t>Va quindi sottolineata la netta distinzione tra le funzioni del giudice del</w:t>
      </w:r>
      <w:r w:rsidR="00487D01">
        <w:softHyphen/>
      </w:r>
      <w:r w:rsidRPr="00067EB0">
        <w:t>l’Unione e di quello nazionale: al primo spetta esclusivamente pronunciarsi sul</w:t>
      </w:r>
      <w:r w:rsidR="00487D01">
        <w:softHyphen/>
      </w:r>
      <w:r w:rsidRPr="00067EB0">
        <w:t>l’interpretazione e la validità delle disposizioni dell’Unione la cui applicazione viene in rilievo nella controversia pendente dinanzi al giudice nazionale, mentre la soluzione della causa rimane di competenza esclusiva del secondo</w:t>
      </w:r>
      <w:r w:rsidRPr="006E1027">
        <w:rPr>
          <w:rStyle w:val="Rimandonotaapidipagina"/>
        </w:rPr>
        <w:t> </w:t>
      </w:r>
      <w:r w:rsidRPr="006E1027">
        <w:rPr>
          <w:rStyle w:val="Rimandonotaapidipagina"/>
        </w:rPr>
        <w:footnoteReference w:id="11"/>
      </w:r>
      <w:r w:rsidRPr="00067EB0">
        <w:t xml:space="preserve">. Di conseguenza, a differenza di quanto il trattato e il </w:t>
      </w:r>
      <w:r w:rsidR="008D3393">
        <w:t>reg. proc.</w:t>
      </w:r>
      <w:r w:rsidRPr="00067EB0">
        <w:t xml:space="preserve"> Corte prevedono per i procedimenti contenziosi, nel procedimento pregiudiziale non è consentito l’intervento in giudizio, dinanzi alla Corte di giustizia, di soggetti privati che non rivestono il ruolo di parte nel processo </w:t>
      </w:r>
      <w:r w:rsidRPr="00AE6D2D">
        <w:rPr>
          <w:i/>
        </w:rPr>
        <w:t>a quo</w:t>
      </w:r>
      <w:r w:rsidRPr="006E1027">
        <w:rPr>
          <w:rStyle w:val="Rimandonotaapidipagina"/>
        </w:rPr>
        <w:t> </w:t>
      </w:r>
      <w:r w:rsidRPr="006E1027">
        <w:rPr>
          <w:rStyle w:val="Rimandonotaapidipagina"/>
        </w:rPr>
        <w:footnoteReference w:id="12"/>
      </w:r>
      <w:r w:rsidRPr="00067EB0">
        <w:t>, né è ammissibile la richiesta, formulata alla Corte da una delle parti, di provvedimenti provvisori quale la sospensione dell’applicazione di un provvedimento nazionale sospettato di incompatibilità con norme comunitarie</w:t>
      </w:r>
      <w:r w:rsidRPr="006E1027">
        <w:rPr>
          <w:rStyle w:val="Rimandonotaapidipagina"/>
        </w:rPr>
        <w:t> </w:t>
      </w:r>
      <w:r w:rsidRPr="006E1027">
        <w:rPr>
          <w:rStyle w:val="Rimandonotaapidipagina"/>
        </w:rPr>
        <w:footnoteReference w:id="13"/>
      </w:r>
      <w:r w:rsidRPr="00CD1630">
        <w:t xml:space="preserve">. </w:t>
      </w:r>
      <w:r w:rsidRPr="00067EB0">
        <w:t xml:space="preserve">Ciò non esclude, tuttavia, che il ruolo delle parti nel giudizio </w:t>
      </w:r>
      <w:r w:rsidRPr="00AE6D2D">
        <w:rPr>
          <w:i/>
        </w:rPr>
        <w:t>a quo</w:t>
      </w:r>
      <w:r w:rsidRPr="00067EB0">
        <w:t xml:space="preserve"> risulti determinante anche nella fase iniziale della decisione del giudice nazionale di rimettere i quesiti pregiudiziali alla Corte di giustizia, posto che nella maggioranza dei casi tale decisione segue l’iniziativa di una delle parti.</w:t>
      </w:r>
    </w:p>
    <w:p w14:paraId="7C774D37" w14:textId="77777777" w:rsidR="002C4301" w:rsidRPr="00067EB0" w:rsidRDefault="002C4301" w:rsidP="002C4301">
      <w:pPr>
        <w:pStyle w:val="Capoverso"/>
      </w:pPr>
      <w:r w:rsidRPr="00067EB0">
        <w:t xml:space="preserve">Quanto al suo scopo, è possibile affermare che il rinvio pregiudiziale mira alla realizzazione di una </w:t>
      </w:r>
      <w:r w:rsidRPr="00AE6D2D">
        <w:rPr>
          <w:i/>
        </w:rPr>
        <w:t>pluralità di obiettivi</w:t>
      </w:r>
      <w:r w:rsidRPr="00067EB0">
        <w:t>.</w:t>
      </w:r>
    </w:p>
    <w:p w14:paraId="07DA390F" w14:textId="77777777" w:rsidR="002C4301" w:rsidRPr="00067EB0" w:rsidRDefault="002C4301" w:rsidP="002C4301">
      <w:pPr>
        <w:pStyle w:val="Capoverso"/>
      </w:pPr>
      <w:r w:rsidRPr="00067EB0">
        <w:t>In primo luogo, come si è accennato, serve a garantire uniformità nell’appli</w:t>
      </w:r>
      <w:r w:rsidR="00487D01">
        <w:softHyphen/>
      </w:r>
      <w:r w:rsidRPr="00067EB0">
        <w:t>cazione giudiziale del diritto dell’Unione. Di fronte al rischio che le diverse giurisdizioni degli Stati membri diano interpretazioni “autarchiche” – e tra loro difformi – alle norme di diritto dell’Unione, gli autori del trattato hanno escogitato tale meccanismo di cooperazione con la giurisdizione europea, che agisce come organo centralizzato di salvaguardia dell’unità del sistema. Ed è il caso di sottolineare che l’efficacia di un tale meccanismo rima</w:t>
      </w:r>
      <w:r w:rsidRPr="00067EB0">
        <w:lastRenderedPageBreak/>
        <w:t>ne tuttora estremamente attuale: da un lato, anche a distanza di numerosi anni dall’entrata in vigore dei trattati istitutivi, non è raro imbattersi in interpretazioni “nazionalistiche” delle norme dell’Unione; dall’altro lato, l’adesione all’Unione di nuovi Stati ripropone sistematicamente l’esigenza di un supporto alle giurisdizioni nazionali e, dunque, la necessità di un ruolo “didascalico” della Corte di giustizia quale inteso sin dal</w:t>
      </w:r>
      <w:r w:rsidR="00487D01">
        <w:softHyphen/>
      </w:r>
      <w:r w:rsidRPr="00067EB0">
        <w:t>l’entrata in vigore dei trattati di Roma.</w:t>
      </w:r>
    </w:p>
    <w:p w14:paraId="59CBB483" w14:textId="77777777" w:rsidR="002C4301" w:rsidRPr="00067EB0" w:rsidRDefault="002C4301" w:rsidP="002C4301">
      <w:pPr>
        <w:pStyle w:val="Capoverso"/>
      </w:pPr>
      <w:r w:rsidRPr="00067EB0">
        <w:t xml:space="preserve">In secondo luogo, il rinvio pregiudiziale contribuisce a completare i mezzi diretti di controllo di legittimità sugli atti dell’Unione, sotto tale profilo fornendo una protezione giurisdizionale (in un certo qual modo alternativa) in particolare a quelle categorie di ricorrenti la cui legittimazione attiva a proporre ricorso per annullamento è subordinata alla sussistenza di determinate circostanze e, quindi, limitata (v. </w:t>
      </w:r>
      <w:r w:rsidRPr="00AE6D2D">
        <w:rPr>
          <w:i/>
        </w:rPr>
        <w:t>supra</w:t>
      </w:r>
      <w:r w:rsidRPr="00067EB0">
        <w:t xml:space="preserve">, cap. 6, parte I). Com’è noto, infatti, ai sensi dell’art. 263, par. 4, TFUE i singoli possono esperire il ricorso in parola soltanto contro le decisioni prese nei loro confronti e contro quegli atti che, pur non essendo ad essi formalmente destinati, li riguardano «direttamente ed individualmente», ovvero contro gli atti regolamentari che li riguardano direttamente e non richiedono misure di esecuzione. Resta esclusa una vasta congerie di atti non rispondenti ai predetti requisiti, tra cui gli atti aventi portata generale, quali regolamenti e direttive. Orbene, qualora tali atti incidano sulla posizione giuridica dei singoli per il tramite di misure interne di attuazione, questi potranno impugnare le misure di esecuzione dinanzi ai giudici nazionali e mettere in discussione, attraverso il procedimento di rinvio, </w:t>
      </w:r>
      <w:r w:rsidRPr="00AE6D2D">
        <w:rPr>
          <w:i/>
        </w:rPr>
        <w:t>la validità</w:t>
      </w:r>
      <w:r w:rsidRPr="00067EB0">
        <w:t xml:space="preserve"> dell’atto dell’Unione presupposto.</w:t>
      </w:r>
    </w:p>
    <w:p w14:paraId="76D8EB0A" w14:textId="77777777" w:rsidR="002C4301" w:rsidRPr="00067EB0" w:rsidRDefault="002C4301" w:rsidP="002C4301">
      <w:pPr>
        <w:pStyle w:val="Capoverso"/>
      </w:pPr>
      <w:r w:rsidRPr="00067EB0">
        <w:t>Il rinvio pregiudiziale, infine, assicura una forma, seppur indiretta, di controllo sulla compatibilità degli atti interni con il diritto dell’Unione. Lo strumento, infatti, viene sovente utilizzato quando di fronte ad una giurisdizione nazionale una parte sostiene che una disposizione interna non debba essere applicata poiché in contrasto con gli obblighi dell’Unione. In questo caso, il giudice nazionale può far ricorso all’art. 267 TFUE per ottenere dalla Corte una pronuncia circa l’interpretazione della norma dell’Unione con cui la misura nazionale in discussione si assume incompatibile. Nella prassi, questo meccanismo è stato utilizzato non solo in caso di conflitto tra norme sostanziali interne e diritto del</w:t>
      </w:r>
      <w:r w:rsidR="00487D01">
        <w:softHyphen/>
      </w:r>
      <w:r w:rsidRPr="00067EB0">
        <w:t>l’Unione, ma anche per contestare l’inefficacia (o addirittura l’assenza) delle azioni e degli strumenti processuali messi a disposizione dall’ordinamento interno per la tutela di posizioni giuridiche attribuite ai singoli dal diritto dell’Unio</w:t>
      </w:r>
      <w:r w:rsidR="00487D01">
        <w:softHyphen/>
      </w:r>
      <w:r w:rsidRPr="00067EB0">
        <w:t>ne</w:t>
      </w:r>
      <w:r w:rsidRPr="006E1027">
        <w:rPr>
          <w:rStyle w:val="Rimandonotaapidipagina"/>
        </w:rPr>
        <w:t> </w:t>
      </w:r>
      <w:r w:rsidRPr="006E1027">
        <w:rPr>
          <w:rStyle w:val="Rimandonotaapidipagina"/>
        </w:rPr>
        <w:footnoteReference w:id="14"/>
      </w:r>
      <w:r w:rsidRPr="00067EB0">
        <w:t>. È evidente che in simili ipotesi, in seguito alla pronuncia della Corte, spetta al giudice nazionale decidere circa l’applicabilità o meno della norma interna in ipotesi contrastante. Tuttavia, l’interpretazione fornita dalla Corte di giustizia lascia a tale giudice un mar</w:t>
      </w:r>
      <w:r w:rsidRPr="00067EB0">
        <w:lastRenderedPageBreak/>
        <w:t>gine minimo di discrezionalità, sino a cancellarla del tutto. Pertanto, la pronuncia della Corte solo in teoria si limita ad indicare una semplice interpretazione delle norme di diritto dell’Unione, risolvendosi di fatto in una sentenza sulla legalità comunitaria di una misura nazionale.</w:t>
      </w:r>
    </w:p>
    <w:p w14:paraId="7ABDDC96" w14:textId="21BA78D2" w:rsidR="002C4301" w:rsidRPr="00067EB0" w:rsidRDefault="002C4301" w:rsidP="002C4301">
      <w:pPr>
        <w:pStyle w:val="Capoverso"/>
      </w:pPr>
      <w:r w:rsidRPr="00067EB0">
        <w:t xml:space="preserve">Quest’ultimo è certamente uno dei profili più interessanti del meccanismo di rinvio pregiudiziale, poiché consente un controllo del rispetto degli obblighi dell’Unione che trae impulso dalle richieste avanzate dalle parti nei giudizi interni. In tale prospettiva, che ha riscosso un discreto successo in dottrina, i privati svolgerebbero il ruolo di “sentinella” rispetto agli inadempimenti degli Stati membri, contribuendo così a compensare talune debolezze della procedura di infrazione </w:t>
      </w:r>
      <w:r w:rsidRPr="00AE6D2D">
        <w:rPr>
          <w:i/>
        </w:rPr>
        <w:t>ex</w:t>
      </w:r>
      <w:r w:rsidRPr="00067EB0">
        <w:t xml:space="preserve"> art. 258 TFUE, gestita dalla Commissione in modo pienamente discrezionale e senza alcuna garanzia nei tempi e nei risultati</w:t>
      </w:r>
      <w:r w:rsidRPr="006E1027">
        <w:rPr>
          <w:rStyle w:val="Rimandonotaapidipagina"/>
        </w:rPr>
        <w:t> </w:t>
      </w:r>
      <w:r w:rsidRPr="00067EB0">
        <w:t>. È anche a questo scopo che la Corte ha inteso garantire al giudice nazionale il potere di accedere ad essa tramite il meccanismo del rinvio pregiudiziale, all’occorrenza disapplicando le regole processuali interne che pongono ostacoli in tal senso</w:t>
      </w:r>
      <w:r w:rsidRPr="006E1027">
        <w:rPr>
          <w:rStyle w:val="Rimandonotaapidipagina"/>
        </w:rPr>
        <w:t> </w:t>
      </w:r>
      <w:r w:rsidRPr="006E1027">
        <w:rPr>
          <w:rStyle w:val="Rimandonotaapidipagina"/>
        </w:rPr>
        <w:footnoteReference w:id="15"/>
      </w:r>
      <w:r w:rsidRPr="00067EB0">
        <w:t>.</w:t>
      </w:r>
    </w:p>
    <w:p w14:paraId="60C44D5E" w14:textId="0B7D4386" w:rsidR="002C4301" w:rsidRPr="00067EB0" w:rsidRDefault="002C4301" w:rsidP="002C4301">
      <w:pPr>
        <w:pStyle w:val="Capoverso"/>
      </w:pPr>
      <w:r w:rsidRPr="00067EB0">
        <w:t xml:space="preserve">Al riguardo si pone un quesito che tuttora non sembra ancora aver trovato una risposta soddisfacente: il rinvio pregiudiziale va inteso come un meccanismo di tenuta del sistema, come prima ricordato, o di tutela dei diritti degli individui? La risposta più diffusa, secondo cui il rinvio pregiudiziale sarebbe finalizzato a perseguire entrambi gli obiettivi, è in linea di principio corretta, visto che è ricorrente nella giurisprudenza l’affermazione secondo cui </w:t>
      </w:r>
      <w:r w:rsidR="00A62C78">
        <w:rPr>
          <w:rFonts w:ascii="Times New Roman" w:hAnsi="Times New Roman"/>
        </w:rPr>
        <w:t>«</w:t>
      </w:r>
      <w:r w:rsidRPr="00067EB0">
        <w:t>il sistema introdotto dall’art. 267 TFUE istituisce […] una cooperazione diretta tra la Corte e i giudici nazionali, nell’ambito della quale questi ultimi partecipano strettamente alla corretta applicazione e all’interpretazione uniforme del diritto dell’Unione, nonché alla tutela dei diritti attribuiti da quest’ultimo ai singoli</w:t>
      </w:r>
      <w:r w:rsidR="00A62C78">
        <w:rPr>
          <w:rFonts w:ascii="Times New Roman" w:hAnsi="Times New Roman"/>
        </w:rPr>
        <w:t>»</w:t>
      </w:r>
      <w:r w:rsidRPr="006E1027">
        <w:rPr>
          <w:rStyle w:val="Rimandonotaapidipagina"/>
        </w:rPr>
        <w:t> </w:t>
      </w:r>
      <w:r w:rsidRPr="006E1027">
        <w:rPr>
          <w:rStyle w:val="Rimandonotaapidipagina"/>
        </w:rPr>
        <w:footnoteReference w:id="16"/>
      </w:r>
      <w:r w:rsidRPr="00067EB0">
        <w:t>.</w:t>
      </w:r>
    </w:p>
    <w:p w14:paraId="65D8F81F" w14:textId="77777777" w:rsidR="002C4301" w:rsidRPr="00067EB0" w:rsidRDefault="002C4301" w:rsidP="002C4301">
      <w:pPr>
        <w:pStyle w:val="Capoverso"/>
      </w:pPr>
      <w:r w:rsidRPr="00067EB0">
        <w:t>Tuttavia, tale risposta rischia di non cogliere tutti i lati del problema. Non può essere tralasciato che, per consolidata giurisprudenza della Corte di giustizia, l’iniziativa del rinvio pregiudiziale è saldamente in mano al solo giudice nazionale</w:t>
      </w:r>
      <w:r w:rsidRPr="006E1027">
        <w:rPr>
          <w:rStyle w:val="Rimandonotaapidipagina"/>
        </w:rPr>
        <w:t> </w:t>
      </w:r>
      <w:r w:rsidRPr="006E1027">
        <w:rPr>
          <w:rStyle w:val="Rimandonotaapidipagina"/>
        </w:rPr>
        <w:footnoteReference w:id="17"/>
      </w:r>
      <w:r w:rsidRPr="00067EB0">
        <w:t xml:space="preserve">. Le parti possono richiederlo ma non possono certo imporlo, e anche qualora il giudice ritenga di effettuarlo rimane di sua esclusiva competenza la scelta dei quesiti da rivolgere alla Corte. Inoltre, non sono rari i casi in cui la pronuncia della Corte, che rimane tecnicamente solo una decisione concernente la corretta interpretazione della norma dell’Unione, non si rivela decisiva in merito alla soluzione del problema della compatibilità tra le due </w:t>
      </w:r>
      <w:r w:rsidRPr="00067EB0">
        <w:lastRenderedPageBreak/>
        <w:t>fonti, rimettendo al giudice nazionale le relative, conseguenti, valutazioni.</w:t>
      </w:r>
    </w:p>
    <w:p w14:paraId="4FB3A975" w14:textId="09B9E0C4" w:rsidR="002C4301" w:rsidRPr="00067EB0" w:rsidRDefault="002C4301" w:rsidP="002C4301">
      <w:pPr>
        <w:pStyle w:val="Capoverso"/>
      </w:pPr>
      <w:r w:rsidRPr="00067EB0">
        <w:t>In definitiva, si tratta pur sempre di una procedura di cooperazione giudiziaria, di un dialogo “da giudice a giudice” che può certo (come nella prassi accade molto spesso) apportare concreti benefici alle parti processuali che ne suggeriscono l’utilizzo, ma che deve strutturalmente essere intesa come procedura finalizzata ad una corretta interpretazione ed applicazione del diritto dell’Unione, più che come strumento di protezione giurisdizionale dei diritti dei privati nei confronti degli Stati membri. Ciò non esclude, ovviamente, che lo svolgimento della procedura pregiudiziale sia da intendere come inserito nel bagaglio delle garanzie che il diritto dell’Unione mette a disposizione dei privati affinché il procedimento giurisdizionale possa definirsi “equo”. A riprova di ciò, è il caso di segnalare che la recente giurisprudenza della Corte europea dei diritti del</w:t>
      </w:r>
      <w:r w:rsidR="00AE5E64">
        <w:softHyphen/>
      </w:r>
      <w:r w:rsidRPr="00067EB0">
        <w:t>l’uomo ritiene che la mancata attivazione del rinvio da parte del giudice di ultima istanza – in linea di principio tenuto ad effettuarlo – se non adeguatamente motivata può comportare una violazione, da parte dello Stato a cui detto giudice appartiene, de</w:t>
      </w:r>
      <w:r w:rsidR="00475BAB">
        <w:t>l principio dell’equo processo codificato ne</w:t>
      </w:r>
      <w:r w:rsidRPr="00067EB0">
        <w:t xml:space="preserve">ll’art. 6 </w:t>
      </w:r>
      <w:r w:rsidR="00F769B0">
        <w:t>CEDU</w:t>
      </w:r>
      <w:r w:rsidRPr="006E1027">
        <w:rPr>
          <w:rStyle w:val="Rimandonotaapidipagina"/>
        </w:rPr>
        <w:t> </w:t>
      </w:r>
      <w:r w:rsidRPr="006E1027">
        <w:rPr>
          <w:rStyle w:val="Rimandonotaapidipagina"/>
        </w:rPr>
        <w:footnoteReference w:id="18"/>
      </w:r>
      <w:r w:rsidRPr="00067EB0">
        <w:t>.</w:t>
      </w:r>
    </w:p>
    <w:p w14:paraId="3A78D26F" w14:textId="77777777" w:rsidR="002C4301" w:rsidRPr="00190E78" w:rsidRDefault="002C4301" w:rsidP="002C4301">
      <w:pPr>
        <w:pStyle w:val="Paragrafo"/>
      </w:pPr>
      <w:r w:rsidRPr="00190E78">
        <w:t xml:space="preserve">2. Il riparto della competenza pregiudiziale tra la Corte ed il </w:t>
      </w:r>
      <w:r w:rsidRPr="002F2A96">
        <w:t>Tribunale</w:t>
      </w:r>
    </w:p>
    <w:p w14:paraId="482DB980" w14:textId="58EA58F7" w:rsidR="002C4301" w:rsidRPr="00067EB0" w:rsidRDefault="002C4301" w:rsidP="002C4301">
      <w:pPr>
        <w:pStyle w:val="Capoverso"/>
      </w:pPr>
      <w:r w:rsidRPr="00067EB0">
        <w:t xml:space="preserve">La competenza pregiudiziale è, tradizionalmente, prerogativa esclusiva della Corte di giustizia, su cui non ha inizialmente inciso l’istituzione del Tribunale di primo grado: e ciò, per una serie di motivi, tra cui l’inopportunità, non solo per ragioni di speditezza, di prevedere un doppio grado di giudizio in un meccanismo che già si inserisce come un incidente nel corso di un processo nazionale; inoltre, è parso necessario mantenere in capo ad un solo giudice, quello di vertice del sistema, il compito nomofilattico tipico della competenza in questione. </w:t>
      </w:r>
      <w:r w:rsidR="005453F1">
        <w:t>T</w:t>
      </w:r>
      <w:r w:rsidRPr="00067EB0">
        <w:t xml:space="preserve">ale soluzione è stata </w:t>
      </w:r>
      <w:r w:rsidR="005453F1">
        <w:t xml:space="preserve">successivamente </w:t>
      </w:r>
      <w:r w:rsidRPr="00067EB0">
        <w:t xml:space="preserve">messa in discussione con l’entrata in vigore del trattato di Nizza nel 2003: con l’inserimento dell’art. 225 TFUE detto trattato </w:t>
      </w:r>
      <w:r w:rsidR="005453F1">
        <w:t>contemplava</w:t>
      </w:r>
      <w:r w:rsidRPr="00067EB0">
        <w:t xml:space="preserve"> la possibilità, tramite modifica dello Statuto, di attribuire al Tribunale la competenza a conoscere di questioni</w:t>
      </w:r>
      <w:r w:rsidR="005453F1">
        <w:t xml:space="preserve"> pregiudiziali</w:t>
      </w:r>
      <w:r w:rsidRPr="00067EB0">
        <w:t>, seppur in materie specifiche espressamente indicate nello stesso Statuto. Dopo anni di discussioni, questa possibilità si è finalmente tradotta in formali attribuzioni di competenze. Difatti, come già ricordato</w:t>
      </w:r>
      <w:r w:rsidR="00475BAB">
        <w:t xml:space="preserve"> (v. </w:t>
      </w:r>
      <w:r w:rsidR="00475BAB" w:rsidRPr="007B7251">
        <w:rPr>
          <w:i/>
        </w:rPr>
        <w:t>supra</w:t>
      </w:r>
      <w:r w:rsidR="00475BAB">
        <w:t>, cap. 2, par. 3)</w:t>
      </w:r>
      <w:r w:rsidRPr="00067EB0">
        <w:t>, il primo settembre 2024 è entrato in vigore il regolamento n. 2024/2019 del Parlamento e del Consiglio che ha disposto la modifica dello Statuto al fine di operare il trasferimento dalla Corte al Tri</w:t>
      </w:r>
      <w:r w:rsidRPr="00067EB0">
        <w:lastRenderedPageBreak/>
        <w:t>bunale della competenza pregiudiziale nei seguenti settori: sistema comune di imposta sul valore aggiunto (IVA); diritti di accisa; codice doganale; classificazione tariffaria delle merci nella nomenclatura combinata; compensazione pecuniaria ed assistenza dei passeggeri in caso di negato imbarco o di ritardo o cancellazione di servizi di trasporto; sistema di scambio di quote di emissione di gas a effetto serra.</w:t>
      </w:r>
    </w:p>
    <w:p w14:paraId="1D3240CA" w14:textId="77777777" w:rsidR="002C4301" w:rsidRPr="00487D01" w:rsidRDefault="002C4301" w:rsidP="002C4301">
      <w:pPr>
        <w:pStyle w:val="Capoverso"/>
        <w:rPr>
          <w:spacing w:val="-2"/>
        </w:rPr>
      </w:pPr>
      <w:r w:rsidRPr="00487D01">
        <w:rPr>
          <w:spacing w:val="-2"/>
        </w:rPr>
        <w:t xml:space="preserve">Per quanto riguarda gli aspetti procedurali, la riforma prevede un meccanismo c.d. di sportello unico, </w:t>
      </w:r>
      <w:r w:rsidR="005453F1">
        <w:rPr>
          <w:spacing w:val="-2"/>
        </w:rPr>
        <w:t>già valutato criticamente in precedenza</w:t>
      </w:r>
      <w:r w:rsidR="005453F1">
        <w:rPr>
          <w:rStyle w:val="Rimandonotaapidipagina"/>
          <w:spacing w:val="-2"/>
        </w:rPr>
        <w:footnoteReference w:id="19"/>
      </w:r>
      <w:r w:rsidR="005453F1">
        <w:rPr>
          <w:spacing w:val="-2"/>
        </w:rPr>
        <w:t xml:space="preserve">, </w:t>
      </w:r>
      <w:r w:rsidRPr="00487D01">
        <w:rPr>
          <w:spacing w:val="-2"/>
        </w:rPr>
        <w:t>in base al quale i giudici nazionali continueranno a rivolgere le domande di pronunce pregiudiziali soltanto alla Corte di giustizia. Que</w:t>
      </w:r>
      <w:r w:rsidR="00487D01">
        <w:rPr>
          <w:spacing w:val="-2"/>
        </w:rPr>
        <w:softHyphen/>
      </w:r>
      <w:r w:rsidRPr="00487D01">
        <w:rPr>
          <w:spacing w:val="-2"/>
        </w:rPr>
        <w:t xml:space="preserve">st’ultima deciderà se affidare la causa al Tribunale, in quanto rientrante </w:t>
      </w:r>
      <w:r w:rsidRPr="00487D01">
        <w:rPr>
          <w:i/>
          <w:spacing w:val="-2"/>
        </w:rPr>
        <w:t>esclusivamente</w:t>
      </w:r>
      <w:r w:rsidRPr="00487D01">
        <w:rPr>
          <w:spacing w:val="-2"/>
        </w:rPr>
        <w:t xml:space="preserve"> in una o più materie prima elencate, o se invece trattenerla per sé, in quanto riguardante anche questioni relative ad altre materie non oggetto di trasferimento oppure «questioni indipendenti di interpretazione del diritto primario, del diritto internazionale pubblico, dei principi generali del diritto o della Carta dei diritti fondamentali dell’Unione europea» (art. 50 </w:t>
      </w:r>
      <w:r w:rsidRPr="00487D01">
        <w:rPr>
          <w:i/>
          <w:spacing w:val="-2"/>
        </w:rPr>
        <w:t>ter</w:t>
      </w:r>
      <w:r w:rsidRPr="00487D01">
        <w:rPr>
          <w:spacing w:val="-2"/>
        </w:rPr>
        <w:t>, secondo comma).</w:t>
      </w:r>
    </w:p>
    <w:p w14:paraId="211FF828" w14:textId="3AF075D4" w:rsidR="002C4301" w:rsidRPr="00AE5E64" w:rsidRDefault="002C4301" w:rsidP="002C4301">
      <w:pPr>
        <w:pStyle w:val="Capoverso"/>
        <w:rPr>
          <w:spacing w:val="1"/>
        </w:rPr>
      </w:pPr>
      <w:r w:rsidRPr="00AE5E64">
        <w:rPr>
          <w:spacing w:val="1"/>
        </w:rPr>
        <w:t xml:space="preserve">Ad ogni modo, secondo le regole del Trattato e la nuova disciplina contenuta nel regolamento che modifica lo Statuto, il Tribunale avrà la facoltà di spogliarsi della causa pregiudiziale e di rinviarne la trattazione alla Corte di giustizia in tre ipotesi: </w:t>
      </w:r>
      <w:r w:rsidR="00A62C78" w:rsidRPr="00AE5E64">
        <w:rPr>
          <w:spacing w:val="1"/>
        </w:rPr>
        <w:t>(</w:t>
      </w:r>
      <w:r w:rsidRPr="00AE5E64">
        <w:rPr>
          <w:i/>
          <w:iCs/>
          <w:spacing w:val="1"/>
        </w:rPr>
        <w:t>i</w:t>
      </w:r>
      <w:r w:rsidRPr="00AE5E64">
        <w:rPr>
          <w:spacing w:val="1"/>
        </w:rPr>
        <w:t>) qualora il giudice nazionale si rivolga direttamente ad esso, anziché alla Corte, affinché possa svolgersi la procedura dello “sportello unico” (reg. proc. Trib., art. 207, par. 1</w:t>
      </w:r>
      <w:r w:rsidRPr="00AE5E64">
        <w:rPr>
          <w:rStyle w:val="Rimandonotaapidipagina"/>
          <w:spacing w:val="1"/>
        </w:rPr>
        <w:t> </w:t>
      </w:r>
      <w:r w:rsidRPr="00AE5E64">
        <w:rPr>
          <w:rStyle w:val="Rimandonotaapidipagina"/>
          <w:spacing w:val="1"/>
        </w:rPr>
        <w:footnoteReference w:id="20"/>
      </w:r>
      <w:r w:rsidRPr="00AE5E64">
        <w:rPr>
          <w:spacing w:val="1"/>
        </w:rPr>
        <w:t xml:space="preserve">); </w:t>
      </w:r>
      <w:r w:rsidR="00A62C78" w:rsidRPr="00AE5E64">
        <w:rPr>
          <w:spacing w:val="1"/>
        </w:rPr>
        <w:t>(</w:t>
      </w:r>
      <w:r w:rsidRPr="00AE5E64">
        <w:rPr>
          <w:i/>
          <w:iCs/>
          <w:spacing w:val="1"/>
        </w:rPr>
        <w:t>ii</w:t>
      </w:r>
      <w:r w:rsidRPr="00AE5E64">
        <w:rPr>
          <w:spacing w:val="1"/>
        </w:rPr>
        <w:t>) qualora la domanda ad esso trasmessa con questa procedura, a seguito di una analisi successiva, eventualmente alla luce delle memorie delle parti, risulti in realtà rientrante nella competenza della Corte (art. 54, secondo comma, Statuto</w:t>
      </w:r>
      <w:r w:rsidRPr="00AE5E64">
        <w:rPr>
          <w:rStyle w:val="Rimandonotaapidipagina"/>
          <w:spacing w:val="1"/>
        </w:rPr>
        <w:t> </w:t>
      </w:r>
      <w:r w:rsidRPr="00AE5E64">
        <w:rPr>
          <w:rStyle w:val="Rimandonotaapidipagina"/>
          <w:spacing w:val="1"/>
        </w:rPr>
        <w:footnoteReference w:id="21"/>
      </w:r>
      <w:r w:rsidRPr="00AE5E64">
        <w:rPr>
          <w:spacing w:val="1"/>
        </w:rPr>
        <w:t xml:space="preserve">) e </w:t>
      </w:r>
      <w:r w:rsidR="00A62C78" w:rsidRPr="00AE5E64">
        <w:rPr>
          <w:spacing w:val="1"/>
        </w:rPr>
        <w:t>(</w:t>
      </w:r>
      <w:r w:rsidRPr="00AE5E64">
        <w:rPr>
          <w:i/>
          <w:iCs/>
          <w:spacing w:val="1"/>
        </w:rPr>
        <w:t>iii</w:t>
      </w:r>
      <w:r w:rsidRPr="00AE5E64">
        <w:rPr>
          <w:spacing w:val="1"/>
        </w:rPr>
        <w:t>) qualora ravvisi la necessità di «una decisione di principio che potrebbe compromettere l’unità o la coerenza del diritto dell’Unione» (art. 256, par. 3, secondo comma, TFUE</w:t>
      </w:r>
      <w:r w:rsidRPr="00AE5E64">
        <w:rPr>
          <w:rStyle w:val="Rimandonotaapidipagina"/>
          <w:spacing w:val="1"/>
        </w:rPr>
        <w:t> </w:t>
      </w:r>
      <w:r w:rsidRPr="00AE5E64">
        <w:rPr>
          <w:rStyle w:val="Rimandonotaapidipagina"/>
          <w:spacing w:val="1"/>
        </w:rPr>
        <w:footnoteReference w:id="22"/>
      </w:r>
      <w:r w:rsidRPr="00AE5E64">
        <w:rPr>
          <w:spacing w:val="1"/>
        </w:rPr>
        <w:t>). Nel merito, l’esercizio di quest’ultima ipotesi di “rinvio” della causa pregiudiziale dal Tribunale alla Corte sarà circoscritto alle sole ipotesi in cui la singola controversia richieda una presa di posizione su aspetti essenziali per l’applicazione del diritto dell’Unione, ovvero qualora si preveda (o il giudice nazionale richieda) l’</w:t>
      </w:r>
      <w:r w:rsidRPr="00AE5E64">
        <w:rPr>
          <w:i/>
          <w:spacing w:val="1"/>
        </w:rPr>
        <w:t>over</w:t>
      </w:r>
      <w:r w:rsidR="00487D01" w:rsidRPr="00AE5E64">
        <w:rPr>
          <w:i/>
          <w:spacing w:val="1"/>
        </w:rPr>
        <w:softHyphen/>
      </w:r>
      <w:r w:rsidRPr="00AE5E64">
        <w:rPr>
          <w:i/>
          <w:spacing w:val="1"/>
        </w:rPr>
        <w:t>ruling</w:t>
      </w:r>
      <w:r w:rsidRPr="00AE5E64">
        <w:rPr>
          <w:spacing w:val="1"/>
        </w:rPr>
        <w:t xml:space="preserve"> di una costante giurisprudenza della Corte di giustizia. Va da sé che, in conseguenza del</w:t>
      </w:r>
      <w:r w:rsidR="00AE5E64" w:rsidRPr="00AE5E64">
        <w:rPr>
          <w:spacing w:val="1"/>
        </w:rPr>
        <w:softHyphen/>
      </w:r>
      <w:r w:rsidRPr="00AE5E64">
        <w:rPr>
          <w:spacing w:val="1"/>
        </w:rPr>
        <w:lastRenderedPageBreak/>
        <w:t>l’adozione del sistema dello sportello unico e quindi della possibilità, per la Corte di giustizia, di trattenere le domande pregiudiziali che presentano tali caratteristiche, quest’ultima ipotesi di rinvio potrà realizzarsi in casi molto rari.</w:t>
      </w:r>
    </w:p>
    <w:p w14:paraId="627FCFA0" w14:textId="2EA86CE6" w:rsidR="002C4301" w:rsidRPr="00067EB0" w:rsidRDefault="00F15783" w:rsidP="002C4301">
      <w:pPr>
        <w:pStyle w:val="Capoverso"/>
      </w:pPr>
      <w:r>
        <w:t xml:space="preserve">Con </w:t>
      </w:r>
      <w:r w:rsidR="005453F1">
        <w:t>l</w:t>
      </w:r>
      <w:r>
        <w:t>a</w:t>
      </w:r>
      <w:r w:rsidR="005453F1">
        <w:t xml:space="preserve"> riforma del 2024 trova poi </w:t>
      </w:r>
      <w:r w:rsidR="002C4301" w:rsidRPr="00067EB0">
        <w:t xml:space="preserve">applicazione </w:t>
      </w:r>
      <w:r w:rsidR="00475BAB">
        <w:t xml:space="preserve">un </w:t>
      </w:r>
      <w:r w:rsidR="002C4301" w:rsidRPr="00067EB0">
        <w:t xml:space="preserve">meccanismo di </w:t>
      </w:r>
      <w:r w:rsidR="002C4301" w:rsidRPr="00AE6D2D">
        <w:rPr>
          <w:i/>
        </w:rPr>
        <w:t>riesame</w:t>
      </w:r>
      <w:r w:rsidR="002C4301" w:rsidRPr="00067EB0">
        <w:t xml:space="preserve"> delle sentenze del Tribunale da parte della Corte di giustizia, applicabile, su iniziativa del primo A.G. alle decisioni adottate nell’esercizio della nuova competenza pregiudiziale, nel caso in cui la sentenza del Tribunale metta a repentaglio l’unità e la coerenza del diritto dell’Unione (art. 256, par. 3, terzo comma, TFUE, artt. 62, 62 </w:t>
      </w:r>
      <w:r w:rsidR="002C4301" w:rsidRPr="00AE6D2D">
        <w:rPr>
          <w:i/>
        </w:rPr>
        <w:t>bis</w:t>
      </w:r>
      <w:r w:rsidR="002C4301" w:rsidRPr="00067EB0">
        <w:t xml:space="preserve"> e 62 </w:t>
      </w:r>
      <w:r w:rsidR="002C4301" w:rsidRPr="00AE6D2D">
        <w:rPr>
          <w:i/>
        </w:rPr>
        <w:t>ter</w:t>
      </w:r>
      <w:r w:rsidR="002C4301" w:rsidRPr="00067EB0">
        <w:t xml:space="preserve"> Statuto). L’intervento, di stampo chiaramente nomofilattico, della giurisdizione superiore dovrebbe dunque evitare il formarsi di “crepe” nel sistema di interpretazione ed applicazione uniforme del diritto dell’Unione, correggendo quelli che, a giudizio della Corte di giustizia, vanno intesi come “errori” o comunque evidenti “deviazioni” rispetto alla sua precedente giurisprudenza.</w:t>
      </w:r>
    </w:p>
    <w:p w14:paraId="5C4D16B3" w14:textId="77777777" w:rsidR="002C4301" w:rsidRPr="00190E78" w:rsidRDefault="002C4301" w:rsidP="002C4301">
      <w:pPr>
        <w:pStyle w:val="Paragrafo"/>
      </w:pPr>
      <w:r w:rsidRPr="00190E78">
        <w:t xml:space="preserve">3. Il rinvio del giudice nazionale: profili soggettivi. La nozione di </w:t>
      </w:r>
      <w:r w:rsidRPr="002F2A96">
        <w:t>giurisdizione</w:t>
      </w:r>
    </w:p>
    <w:p w14:paraId="146CA83F" w14:textId="77777777" w:rsidR="002C4301" w:rsidRPr="007B7251" w:rsidRDefault="002C4301" w:rsidP="002C4301">
      <w:pPr>
        <w:pStyle w:val="Capoverso"/>
      </w:pPr>
      <w:r w:rsidRPr="007B7251">
        <w:t>Ai sensi dell’art. 267, secondo comma, TFUE, il rinvio pregiudiziale può essere sollevato da «una giurisdizione di uno degli Stati membri». È di immediata evidenza che tale disposizione si compone di due elementi: il soggetto che solleva il rinvio deve (</w:t>
      </w:r>
      <w:r w:rsidRPr="007B7251">
        <w:rPr>
          <w:i/>
        </w:rPr>
        <w:t>i</w:t>
      </w:r>
      <w:r w:rsidRPr="007B7251">
        <w:t>) far parte dell’organizzazione di uno Stato membro e (</w:t>
      </w:r>
      <w:r w:rsidRPr="007B7251">
        <w:rPr>
          <w:i/>
        </w:rPr>
        <w:t>ii</w:t>
      </w:r>
      <w:r w:rsidRPr="007B7251">
        <w:t>) soddisfare le caratteristiche della “giurisdizione” secondo l’accezio</w:t>
      </w:r>
      <w:r w:rsidR="00315F69" w:rsidRPr="007B7251">
        <w:softHyphen/>
      </w:r>
      <w:r w:rsidRPr="007B7251">
        <w:t>ne “comunitaria” della nozione. Spetta alla Corte di giustizia esaminare, caso per caso, in sede di verifica della propria competenza la presenza di detti elementi. Una soluzione negativa comporta l’irricevibilità dei quesiti pregiudiziali.</w:t>
      </w:r>
    </w:p>
    <w:p w14:paraId="574E2101" w14:textId="131C99D8" w:rsidR="002C4301" w:rsidRPr="00067EB0" w:rsidRDefault="002C4301" w:rsidP="002C4301">
      <w:pPr>
        <w:pStyle w:val="Capoverso"/>
      </w:pPr>
      <w:r w:rsidRPr="00067EB0">
        <w:t>Il primo requisito non dà luogo a particolari difficoltà interpretative. Nelle rare circostanze in cui il problema si è presentato alla sua attenzione, la Corte ha conferito alla nozione in questione un’interpretazione non priva di flessibilità, così riconoscendo la qualità di giurisdizione ai giudici, ad esempio, dei paesi e territori d’oltremare</w:t>
      </w:r>
      <w:r w:rsidRPr="006E1027">
        <w:rPr>
          <w:rStyle w:val="Rimandonotaapidipagina"/>
        </w:rPr>
        <w:t> </w:t>
      </w:r>
      <w:r w:rsidRPr="006E1027">
        <w:rPr>
          <w:rStyle w:val="Rimandonotaapidipagina"/>
        </w:rPr>
        <w:footnoteReference w:id="23"/>
      </w:r>
      <w:r w:rsidRPr="00067EB0">
        <w:t>, che, in virtù dell’art. 355, par. 2, sono soggetti allo speciale regime di associazione di cui alla parte quarta del trattato (artt. 198-204 TFUE)</w:t>
      </w:r>
      <w:r w:rsidR="00F15783">
        <w:t xml:space="preserve">, nonché alla </w:t>
      </w:r>
      <w:r w:rsidRPr="00067EB0">
        <w:t>Corte di giustizia del Benelux</w:t>
      </w:r>
      <w:r w:rsidR="007B7251" w:rsidRPr="007B7251">
        <w:rPr>
          <w:vertAlign w:val="superscript"/>
        </w:rPr>
        <w:t> </w:t>
      </w:r>
      <w:r w:rsidRPr="006E1027">
        <w:rPr>
          <w:rStyle w:val="Rimandonotaapidipagina"/>
        </w:rPr>
        <w:footnoteReference w:id="24"/>
      </w:r>
      <w:r w:rsidRPr="00067EB0">
        <w:t>.</w:t>
      </w:r>
    </w:p>
    <w:p w14:paraId="6B550AD6" w14:textId="4B46B16F" w:rsidR="002C4301" w:rsidRPr="00067EB0" w:rsidRDefault="002C4301" w:rsidP="002C4301">
      <w:pPr>
        <w:pStyle w:val="Capoverso"/>
      </w:pPr>
      <w:r w:rsidRPr="00067EB0">
        <w:lastRenderedPageBreak/>
        <w:t xml:space="preserve">A differenza del requisito della nazionalità, il problema della precisazione della </w:t>
      </w:r>
      <w:r w:rsidRPr="00AE6D2D">
        <w:rPr>
          <w:i/>
        </w:rPr>
        <w:t xml:space="preserve">nozione di giurisdizione </w:t>
      </w:r>
      <w:r w:rsidRPr="00067EB0">
        <w:t xml:space="preserve">è da lungo tempo dibattuto ed ha dato luogo ad una giurisprudenza copiosa. Appare opportuno premettere che, per esigenze di uniformità, la Corte ha preferito escludere ogni rinvio alle qualificazioni offerte dai singoli ordinamenti nazionali, adottando essa stessa una nozione unitaria di “giurisdizione” ai fini dell’applicazione dell’art. 267 TFUE. Ciò che rileva è la natura sostanzialmente giurisdizionale delle funzioni esercitate dall’organo e non il suo </w:t>
      </w:r>
      <w:r w:rsidRPr="00AE6D2D">
        <w:rPr>
          <w:i/>
        </w:rPr>
        <w:t>nomen iuris</w:t>
      </w:r>
      <w:r w:rsidRPr="00067EB0">
        <w:t>, né l’inquadramento nel sistema giudiziario nazionale. Non è infrequente, anzi, che organismi non facenti parte dell’ordinamento giudiziario degli Stati membri vengano ritenuti dalla Corte competenti a sollevare questioni pregiudiziali</w:t>
      </w:r>
      <w:r w:rsidRPr="006E1027">
        <w:rPr>
          <w:rStyle w:val="Rimandonotaapidipagina"/>
        </w:rPr>
        <w:t> </w:t>
      </w:r>
      <w:r w:rsidRPr="006E1027">
        <w:rPr>
          <w:rStyle w:val="Rimandonotaapidipagina"/>
        </w:rPr>
        <w:footnoteReference w:id="25"/>
      </w:r>
      <w:r w:rsidRPr="00067EB0">
        <w:t>. Allo stesso modo, e specularmente, è avvenuto che organismi che senza dubbio sono inquadrabili tra le giurisdizioni di uno Stato membro siano stati esclusi dalla procedura del rinvio pregiudiziale in ragione delle peculiarità delle funzioni svolte in una specifica procedura. Ciò comporta che un organismo che senz’altro, considerata la sua struttura, deve essere qualificato come “giurisdizione” ai fini dell’art. 267 TFUE, può non essere abilitato a rivolgersi alla Corte qualora, e nella misura in cui, eserciti funzioni di natura amministrativa</w:t>
      </w:r>
      <w:r w:rsidRPr="006E1027">
        <w:rPr>
          <w:rStyle w:val="Rimandonotaapidipagina"/>
        </w:rPr>
        <w:t> </w:t>
      </w:r>
      <w:r w:rsidRPr="006E1027">
        <w:rPr>
          <w:rStyle w:val="Rimandonotaapidipagina"/>
        </w:rPr>
        <w:footnoteReference w:id="26"/>
      </w:r>
      <w:r w:rsidRPr="00067EB0">
        <w:t>, come è il caso</w:t>
      </w:r>
      <w:r w:rsidR="00F15783">
        <w:t>, in Italia,</w:t>
      </w:r>
      <w:r w:rsidRPr="00067EB0">
        <w:t xml:space="preserve"> della Corte dei conti quando svolge funzioni di valutazione e controllo dell’attività amministrativa</w:t>
      </w:r>
      <w:r w:rsidRPr="006E1027">
        <w:rPr>
          <w:rStyle w:val="Rimandonotaapidipagina"/>
        </w:rPr>
        <w:t> </w:t>
      </w:r>
      <w:r w:rsidRPr="006E1027">
        <w:rPr>
          <w:rStyle w:val="Rimandonotaapidipagina"/>
        </w:rPr>
        <w:footnoteReference w:id="27"/>
      </w:r>
      <w:r w:rsidRPr="00067EB0">
        <w:t>, o del Tribunale civile quando esercita, in sede di volontaria giurisdizione, il controllo sull’omo</w:t>
      </w:r>
      <w:r w:rsidR="00315F69">
        <w:softHyphen/>
      </w:r>
      <w:r w:rsidRPr="00067EB0">
        <w:t>logazione delle società commerciali</w:t>
      </w:r>
      <w:r w:rsidRPr="006E1027">
        <w:rPr>
          <w:rStyle w:val="Rimandonotaapidipagina"/>
        </w:rPr>
        <w:t> </w:t>
      </w:r>
      <w:r w:rsidRPr="006E1027">
        <w:rPr>
          <w:rStyle w:val="Rimandonotaapidipagina"/>
        </w:rPr>
        <w:footnoteReference w:id="28"/>
      </w:r>
      <w:r w:rsidR="00F15783">
        <w:t>, ovvero qualora non presenti una sufficiente garanzia di indipendenza, come nel caso, in Polonia, della Sezione di controllo straordinario creata presso la Corte suprema</w:t>
      </w:r>
      <w:r w:rsidR="007B7251" w:rsidRPr="007B7251">
        <w:rPr>
          <w:vertAlign w:val="superscript"/>
        </w:rPr>
        <w:t> </w:t>
      </w:r>
      <w:r w:rsidR="00F15783">
        <w:rPr>
          <w:rStyle w:val="Rimandonotaapidipagina"/>
        </w:rPr>
        <w:footnoteReference w:id="29"/>
      </w:r>
      <w:r w:rsidR="0070127F">
        <w:t>.</w:t>
      </w:r>
      <w:r w:rsidR="00F15783">
        <w:t xml:space="preserve"> </w:t>
      </w:r>
    </w:p>
    <w:p w14:paraId="388DAE07" w14:textId="2FA9F001" w:rsidR="002C4301" w:rsidRPr="00067EB0" w:rsidRDefault="002C4301" w:rsidP="002C4301">
      <w:pPr>
        <w:pStyle w:val="Capoverso"/>
      </w:pPr>
      <w:r w:rsidRPr="00067EB0">
        <w:t xml:space="preserve">La sentenza </w:t>
      </w:r>
      <w:r w:rsidRPr="00AE6D2D">
        <w:rPr>
          <w:i/>
        </w:rPr>
        <w:t>Vaassen-Göbbels</w:t>
      </w:r>
      <w:r w:rsidR="00A62C78">
        <w:t>,</w:t>
      </w:r>
      <w:r w:rsidRPr="00067EB0">
        <w:t xml:space="preserve"> capostipite in materia, </w:t>
      </w:r>
      <w:r w:rsidR="00F15783">
        <w:t xml:space="preserve">ha </w:t>
      </w:r>
      <w:r w:rsidR="008F0581">
        <w:t>indicato</w:t>
      </w:r>
      <w:r w:rsidR="00F15783">
        <w:t xml:space="preserve"> i requisiti che un organo nazionale remittente deve avere per essere qualificato come giurisdizione nazionale ai fini dell’art. 267 TFUE</w:t>
      </w:r>
      <w:r w:rsidR="008F0581">
        <w:t xml:space="preserve">. Si tratta: </w:t>
      </w:r>
      <w:r w:rsidRPr="00067EB0">
        <w:t>(</w:t>
      </w:r>
      <w:r w:rsidRPr="00AE6D2D">
        <w:rPr>
          <w:i/>
        </w:rPr>
        <w:t>a</w:t>
      </w:r>
      <w:r w:rsidRPr="00067EB0">
        <w:t>) nell’origine legale del</w:t>
      </w:r>
      <w:r w:rsidR="007B7251">
        <w:softHyphen/>
      </w:r>
      <w:r w:rsidRPr="00067EB0">
        <w:t>l’organo, che deve essere istituito da una fonte di diritto e non già dal</w:t>
      </w:r>
      <w:r w:rsidR="007B7251">
        <w:softHyphen/>
      </w:r>
      <w:r w:rsidRPr="00067EB0">
        <w:t>l’accordo tra le parti; (</w:t>
      </w:r>
      <w:r w:rsidRPr="00AE6D2D">
        <w:rPr>
          <w:i/>
        </w:rPr>
        <w:t>b</w:t>
      </w:r>
      <w:r w:rsidRPr="00067EB0">
        <w:t>) nel suo carattere permanente, ossia nella circostanza che questo non eserciti funzioni giurisdizionali in via occasionale; (</w:t>
      </w:r>
      <w:r w:rsidRPr="00AE6D2D">
        <w:rPr>
          <w:i/>
        </w:rPr>
        <w:t>c</w:t>
      </w:r>
      <w:r w:rsidRPr="00067EB0">
        <w:t>) nel</w:t>
      </w:r>
      <w:r w:rsidR="007B7251">
        <w:softHyphen/>
      </w:r>
      <w:r w:rsidRPr="00067EB0">
        <w:t>l’ob</w:t>
      </w:r>
      <w:r w:rsidR="007B7251">
        <w:softHyphen/>
      </w:r>
      <w:r w:rsidRPr="00067EB0">
        <w:t>bligatorietà della sua giurisdizione, che comporta l’esclusione di rimedi alternativi; (</w:t>
      </w:r>
      <w:r w:rsidRPr="00AE6D2D">
        <w:rPr>
          <w:i/>
        </w:rPr>
        <w:t>d</w:t>
      </w:r>
      <w:r w:rsidRPr="00067EB0">
        <w:t>) nel rispetto del principio del contraddittorio tra le parti, e, an</w:t>
      </w:r>
      <w:r w:rsidRPr="00067EB0">
        <w:lastRenderedPageBreak/>
        <w:t>cora, (</w:t>
      </w:r>
      <w:r w:rsidRPr="00AE6D2D">
        <w:rPr>
          <w:i/>
        </w:rPr>
        <w:t>e</w:t>
      </w:r>
      <w:r w:rsidRPr="00067EB0">
        <w:t>) nel fatto che l’organo applichi norme giuridiche. A tali requisiti si è aggiunto, in base alla giurisprudenza successiva, (</w:t>
      </w:r>
      <w:r w:rsidRPr="00AE6D2D">
        <w:rPr>
          <w:i/>
        </w:rPr>
        <w:t>f)</w:t>
      </w:r>
      <w:r w:rsidRPr="00067EB0">
        <w:t xml:space="preserve"> quello della indipendenza e terzietà dell’organo rispetto alle parti del giudizio</w:t>
      </w:r>
      <w:r w:rsidRPr="006E1027">
        <w:rPr>
          <w:rStyle w:val="Rimandonotaapidipagina"/>
        </w:rPr>
        <w:t> </w:t>
      </w:r>
      <w:r w:rsidRPr="006E1027">
        <w:rPr>
          <w:rStyle w:val="Rimandonotaapidipagina"/>
        </w:rPr>
        <w:footnoteReference w:id="30"/>
      </w:r>
      <w:r w:rsidRPr="00067EB0">
        <w:t>.</w:t>
      </w:r>
    </w:p>
    <w:p w14:paraId="2E5A06CE" w14:textId="77777777" w:rsidR="008F0581" w:rsidRDefault="002C4301" w:rsidP="008F0581">
      <w:pPr>
        <w:pStyle w:val="Capoverso"/>
      </w:pPr>
      <w:r w:rsidRPr="00067EB0">
        <w:t xml:space="preserve">Il </w:t>
      </w:r>
      <w:r w:rsidRPr="00AE6D2D">
        <w:rPr>
          <w:i/>
        </w:rPr>
        <w:t>test</w:t>
      </w:r>
      <w:r w:rsidRPr="00067EB0">
        <w:t xml:space="preserve"> in questione si è mantenuto invariato nella giurisprudenza successiva, pur non essendo mancate, talvolta, oscillazioni riguardanti il contenuto di alcuni dei suddetti requisiti. Così, se è costante la giurisprudenza relativa all’origine legale, al carattere permanente, all’applicazione di norme giuridiche ed all’obbli</w:t>
      </w:r>
      <w:r w:rsidR="00315F69">
        <w:softHyphen/>
      </w:r>
      <w:r w:rsidRPr="00067EB0">
        <w:t>gatorietà della giurisdizione, non sempre uniforme e lineare è la giurisprudenza relativa al contenuto dei requisiti dell’indipendenza e della sussistenza di contraddittorio tra le parti. La ragione di tale differenza è facilmente spiegabile. Le maggiori difficoltà interpretative sorgono, infatti, di fronte ad organi nazionali che si collocano al confine tra potere esecutivo e giudiziario. Orbene, i primi requisiti enunciati sono comuni ad organi dei due poteri, che hanno natura permanente, sono previsti dalla legge, aditi obbligatoriamente, ed applicano norme giuridiche, mentre i requisiti della indipendenza e della sussistenza di contraddittorio tra le parti caratterizzano funzioni di tipo giurisdizionale e fungono da linea di discrimine con le funzioni amministrative.</w:t>
      </w:r>
      <w:r w:rsidR="008F0581" w:rsidRPr="008F0581">
        <w:t xml:space="preserve"> </w:t>
      </w:r>
    </w:p>
    <w:p w14:paraId="4EC3D285" w14:textId="2E68B49E" w:rsidR="008F0581" w:rsidRPr="00067EB0" w:rsidRDefault="008F0581" w:rsidP="008F0581">
      <w:pPr>
        <w:pStyle w:val="Capoverso"/>
      </w:pPr>
      <w:r w:rsidRPr="00315F69">
        <w:t xml:space="preserve">Appare il caso di segnalare, </w:t>
      </w:r>
      <w:r>
        <w:t>a questo proposito,</w:t>
      </w:r>
      <w:r w:rsidRPr="00315F69">
        <w:t xml:space="preserve"> che modificando un più risalente orientamento</w:t>
      </w:r>
      <w:r w:rsidRPr="00315F69">
        <w:rPr>
          <w:vertAlign w:val="superscript"/>
        </w:rPr>
        <w:t> </w:t>
      </w:r>
      <w:r w:rsidRPr="00315F69">
        <w:rPr>
          <w:vertAlign w:val="superscript"/>
        </w:rPr>
        <w:footnoteReference w:id="31"/>
      </w:r>
      <w:r w:rsidRPr="00315F69">
        <w:t xml:space="preserve">, </w:t>
      </w:r>
      <w:r w:rsidRPr="00067EB0">
        <w:t xml:space="preserve">nella sentenza </w:t>
      </w:r>
      <w:r w:rsidRPr="00AE6D2D">
        <w:rPr>
          <w:i/>
          <w:iCs/>
        </w:rPr>
        <w:t>Banco Santander</w:t>
      </w:r>
      <w:r w:rsidRPr="006E1027">
        <w:rPr>
          <w:rStyle w:val="Rimandonotaapidipagina"/>
          <w:iCs/>
        </w:rPr>
        <w:t> </w:t>
      </w:r>
      <w:r w:rsidRPr="006E1027">
        <w:rPr>
          <w:rStyle w:val="Rimandonotaapidipagina"/>
          <w:iCs/>
        </w:rPr>
        <w:footnoteReference w:id="32"/>
      </w:r>
      <w:r w:rsidRPr="00067EB0">
        <w:t xml:space="preserve"> la Corte ha ritenuto di non poter rispondere ai quesiti posti da un organo che, nell’ordinamento spagnolo, si colloca al confine tra l’amministrazione ed il potere giudiziario (</w:t>
      </w:r>
      <w:r w:rsidRPr="00AE6D2D">
        <w:rPr>
          <w:i/>
        </w:rPr>
        <w:t>Tribunal Econòmico-Administrativo Regional)</w:t>
      </w:r>
      <w:r w:rsidRPr="00067EB0">
        <w:t>, in ragione della mancanza del requisito dell’indipendenza. In effetti tale organo, competente a statuire sui ricorsi dei contribuenti, è incardinato nella struttura del Ministero delle Finanze, i cui atti sono oggetto del ricorso, e composto da funzionari dello stesso Ministero, nominati e revocabili dal Ministro</w:t>
      </w:r>
      <w:r w:rsidR="007B7251" w:rsidRPr="007B7251">
        <w:rPr>
          <w:vertAlign w:val="superscript"/>
        </w:rPr>
        <w:t> </w:t>
      </w:r>
      <w:r w:rsidRPr="006E1027">
        <w:rPr>
          <w:rStyle w:val="Rimandonotaapidipagina"/>
        </w:rPr>
        <w:footnoteReference w:id="33"/>
      </w:r>
      <w:r w:rsidRPr="00067EB0">
        <w:t>.</w:t>
      </w:r>
    </w:p>
    <w:p w14:paraId="319E9E70" w14:textId="425742D9" w:rsidR="002C4301" w:rsidRPr="007B7251" w:rsidRDefault="008F0581" w:rsidP="00AE5E64">
      <w:pPr>
        <w:pStyle w:val="Capoverso"/>
      </w:pPr>
      <w:r w:rsidRPr="007B7251">
        <w:t>Più in generale, nella giurisprudenza più recente la Corte ha precisato che i</w:t>
      </w:r>
      <w:r w:rsidR="002C4301" w:rsidRPr="007B7251">
        <w:t>l requisito dell’indipendenza comporta due aspetti, il primo di carattere esterno, relativo all’</w:t>
      </w:r>
      <w:r w:rsidR="002C4301" w:rsidRPr="007B7251">
        <w:rPr>
          <w:i/>
          <w:iCs/>
        </w:rPr>
        <w:t xml:space="preserve">autonomia </w:t>
      </w:r>
      <w:r w:rsidR="002C4301" w:rsidRPr="007B7251">
        <w:t xml:space="preserve">dell’organo, e il secondo di carattere interno, </w:t>
      </w:r>
      <w:r w:rsidR="002C4301" w:rsidRPr="007B7251">
        <w:lastRenderedPageBreak/>
        <w:t xml:space="preserve">relativo alla sua </w:t>
      </w:r>
      <w:r w:rsidR="002C4301" w:rsidRPr="007B7251">
        <w:rPr>
          <w:i/>
          <w:iCs/>
        </w:rPr>
        <w:t>imparzialità</w:t>
      </w:r>
      <w:r w:rsidR="002C4301" w:rsidRPr="007B7251">
        <w:rPr>
          <w:rStyle w:val="Rimandonotaapidipagina"/>
          <w:rFonts w:cs="Open Sans"/>
          <w:spacing w:val="-3"/>
        </w:rPr>
        <w:t> </w:t>
      </w:r>
      <w:r w:rsidR="002C4301" w:rsidRPr="007B7251">
        <w:rPr>
          <w:rStyle w:val="Rimandonotaapidipagina"/>
          <w:rFonts w:cs="Open Sans"/>
          <w:spacing w:val="-3"/>
        </w:rPr>
        <w:footnoteReference w:id="34"/>
      </w:r>
      <w:r w:rsidR="002C4301" w:rsidRPr="007B7251">
        <w:t>. Questi due aspetti della nozione di «indipendenza» (presuppongono l’esistenza di regole – relative in particolare alla composizione dell’or</w:t>
      </w:r>
      <w:r w:rsidR="007B7251" w:rsidRPr="007B7251">
        <w:softHyphen/>
      </w:r>
      <w:r w:rsidR="002C4301" w:rsidRPr="007B7251">
        <w:t>gan</w:t>
      </w:r>
      <w:r w:rsidR="007B7251" w:rsidRPr="007B7251">
        <w:softHyphen/>
      </w:r>
      <w:r w:rsidR="002C4301" w:rsidRPr="007B7251">
        <w:t>o, alla nomina, alla durata delle funzioni nonché alle cause di astensione, di ricusazione e di revoca dei suoi membri – che consentano di fugare qualsiasi legittimo dubbio che i singoli possano nutrire in merito all’impermeabilità di detto organo rispetto a elementi esterni e alla sua neutralità rispetto agli interessi contrapposti</w:t>
      </w:r>
      <w:r w:rsidR="002C4301" w:rsidRPr="007B7251">
        <w:rPr>
          <w:rStyle w:val="Rimandonotaapidipagina"/>
          <w:rFonts w:cs="Open Sans"/>
          <w:spacing w:val="-3"/>
        </w:rPr>
        <w:t> </w:t>
      </w:r>
      <w:r w:rsidR="002C4301" w:rsidRPr="007B7251">
        <w:rPr>
          <w:rStyle w:val="Rimandonotaapidipagina"/>
          <w:rFonts w:cs="Open Sans"/>
          <w:spacing w:val="-3"/>
        </w:rPr>
        <w:footnoteReference w:id="35"/>
      </w:r>
      <w:r w:rsidR="002C4301" w:rsidRPr="007B7251">
        <w:t>.</w:t>
      </w:r>
    </w:p>
    <w:p w14:paraId="2D30EEC1" w14:textId="3775FAFF" w:rsidR="002C4301" w:rsidRPr="00AE5E64" w:rsidRDefault="002C4301" w:rsidP="002C4301">
      <w:pPr>
        <w:pStyle w:val="Capoverso"/>
      </w:pPr>
      <w:r w:rsidRPr="00AE5E64">
        <w:t>La Corte ha stabilito che, quando una domanda di pronuncia pregiudiziale promani da un organo giurisdizionale nazionale, si deve presumere che l’organo in questione soddisfi tale requisito indipendentemente dalla sua concreta composizione</w:t>
      </w:r>
      <w:r w:rsidRPr="00AE5E64">
        <w:rPr>
          <w:rStyle w:val="Rimandonotaapidipagina"/>
          <w:rFonts w:cs="Open Sans"/>
        </w:rPr>
        <w:t> </w:t>
      </w:r>
      <w:r w:rsidRPr="00AE5E64">
        <w:rPr>
          <w:rStyle w:val="Rimandonotaapidipagina"/>
          <w:rFonts w:cs="Open Sans"/>
        </w:rPr>
        <w:footnoteReference w:id="36"/>
      </w:r>
      <w:r w:rsidRPr="00AE5E64">
        <w:t>. Tale presunzione può però essere rovesciata nel caso in cui una decisione giudiziaria definitiva emessa da un organo giurisdizionale nazionale o internazionale porti a ritenere che il giudice del rinvio non abbia la qualità di organo giurisdizionale indipendente, imparziale e precostituito per legge, ai sensi dell’art</w:t>
      </w:r>
      <w:r w:rsidR="004050C9" w:rsidRPr="00AE5E64">
        <w:t>.</w:t>
      </w:r>
      <w:r w:rsidRPr="00AE5E64">
        <w:t xml:space="preserve"> 19, par. 1, secondo comma, TUE, letto alla luce dell’art. 47 </w:t>
      </w:r>
      <w:r w:rsidR="00DA2710" w:rsidRPr="00AE5E64">
        <w:t>CDFUE</w:t>
      </w:r>
      <w:r w:rsidR="000D3AEA" w:rsidRPr="00AE5E64">
        <w:rPr>
          <w:vertAlign w:val="superscript"/>
        </w:rPr>
        <w:t> </w:t>
      </w:r>
      <w:r w:rsidRPr="00AE5E64">
        <w:rPr>
          <w:rStyle w:val="Rimandonotaapidipagina"/>
          <w:rFonts w:cs="Open Sans"/>
        </w:rPr>
        <w:footnoteReference w:id="37"/>
      </w:r>
      <w:r w:rsidRPr="00AE5E64">
        <w:t xml:space="preserve">, o quando </w:t>
      </w:r>
      <w:r w:rsidRPr="00AE5E64">
        <w:rPr>
          <w:i/>
          <w:iCs/>
        </w:rPr>
        <w:t>altri elementi</w:t>
      </w:r>
      <w:r w:rsidRPr="00AE5E64">
        <w:t xml:space="preserve">, che non dipendono dalla situazione personale dei giudici che presentano formalmente una domanda </w:t>
      </w:r>
      <w:r w:rsidR="008F0581" w:rsidRPr="00AE5E64">
        <w:t xml:space="preserve">pregiudiziale </w:t>
      </w:r>
      <w:r w:rsidRPr="00AE5E64">
        <w:t>ai sensi dell’art. 267 TFUE, potrebbero avere ripercussioni sul funzionamento dell’organo giurisdizionale del rinvio di cui tali giudici fanno parte e concorrere così a pregiudicare l’indi</w:t>
      </w:r>
      <w:r w:rsidR="00315F69" w:rsidRPr="00AE5E64">
        <w:softHyphen/>
      </w:r>
      <w:r w:rsidRPr="00AE5E64">
        <w:t>pendenza e l’im</w:t>
      </w:r>
      <w:r w:rsidR="000D3AEA" w:rsidRPr="00AE5E64">
        <w:softHyphen/>
      </w:r>
      <w:r w:rsidRPr="00AE5E64">
        <w:t>par</w:t>
      </w:r>
      <w:r w:rsidR="000D3AEA" w:rsidRPr="00AE5E64">
        <w:softHyphen/>
      </w:r>
      <w:r w:rsidRPr="00AE5E64">
        <w:t>zialità di tale organo</w:t>
      </w:r>
      <w:r w:rsidRPr="00AE5E64">
        <w:rPr>
          <w:rStyle w:val="Rimandonotaapidipagina"/>
          <w:rFonts w:cs="Open Sans"/>
        </w:rPr>
        <w:t> </w:t>
      </w:r>
      <w:r w:rsidRPr="00AE5E64">
        <w:rPr>
          <w:rStyle w:val="Rimandonotaapidipagina"/>
          <w:rFonts w:cs="Open Sans"/>
        </w:rPr>
        <w:footnoteReference w:id="38"/>
      </w:r>
      <w:r w:rsidRPr="00AE5E64">
        <w:t>. Al riguardo, occorre rilevare che la Corte di giustizia sembra ultimamente interpretare in modo uniforme il requisito dell’indipen</w:t>
      </w:r>
      <w:r w:rsidR="000D3AEA" w:rsidRPr="00AE5E64">
        <w:softHyphen/>
      </w:r>
      <w:r w:rsidRPr="00AE5E64">
        <w:t xml:space="preserve">denza sia quando il giudice nazionale è chiamato a decidere sulla ricevibilità della domanda pregiudiziale, sia quando deve verificare il rispetto del diritto a una tutela giurisdizionale effettiva e del diritto a un equo processo in un determinato Stato membro (artt. 19 TUE e 47 </w:t>
      </w:r>
      <w:r w:rsidR="00DA2710" w:rsidRPr="00AE5E64">
        <w:t>CDFUE</w:t>
      </w:r>
      <w:r w:rsidRPr="00AE5E64">
        <w:t>). Se è vero che l’uniformità di giudizio va accolta con favore in termini di coerenza del sistema, occorre pure evidenziare che tale approccio comporta un irrigidimento ulteriore delle condizioni per poter coinvolgere la Corte nella risoluzione delle controversie interne. Tale irrigidimento, in situazioni di violazione sistemica del</w:t>
      </w:r>
      <w:r w:rsidR="00AE5E64">
        <w:softHyphen/>
      </w:r>
      <w:r w:rsidRPr="00AE5E64">
        <w:t>l’indipendenza della magistratura, rischia di isolare il giudice nazionale e di favorire, paradossalmente, la mancata applicazione delle garanzie prescritte dal diritto dell’Unione. A questo proposito, va segnalato che di recente la Corte ha dichiarato irricevibile una domanda di pronuncia pregiudiziale propo</w:t>
      </w:r>
      <w:r w:rsidRPr="00AE5E64">
        <w:lastRenderedPageBreak/>
        <w:t>sta dalla Sezione di controllo straordinario e delle questioni pubbliche della Corte Suprema polacca, in quanto priva del requisito di indipendenza</w:t>
      </w:r>
      <w:r w:rsidRPr="00AE5E64">
        <w:rPr>
          <w:rStyle w:val="Rimandonotaapidipagina"/>
          <w:rFonts w:cs="Open Sans"/>
        </w:rPr>
        <w:t> </w:t>
      </w:r>
      <w:r w:rsidRPr="00AE5E64">
        <w:rPr>
          <w:rStyle w:val="Rimandonotaapidipagina"/>
          <w:rFonts w:cs="Open Sans"/>
        </w:rPr>
        <w:footnoteReference w:id="39"/>
      </w:r>
      <w:r w:rsidRPr="00AE5E64">
        <w:t>.</w:t>
      </w:r>
    </w:p>
    <w:p w14:paraId="55BA9F7B" w14:textId="77777777" w:rsidR="002C4301" w:rsidRPr="00067EB0" w:rsidRDefault="002C4301" w:rsidP="002C4301">
      <w:pPr>
        <w:pStyle w:val="Capoverso"/>
      </w:pPr>
      <w:r w:rsidRPr="00067EB0">
        <w:t xml:space="preserve">Per quanto riguarda il </w:t>
      </w:r>
      <w:r w:rsidRPr="00AE6D2D">
        <w:rPr>
          <w:i/>
        </w:rPr>
        <w:t>requisito del contraddittorio</w:t>
      </w:r>
      <w:r w:rsidRPr="00067EB0">
        <w:t>, occorre che le parti abbiano potuto far valere i loro diritti di fronte al giudice</w:t>
      </w:r>
      <w:r w:rsidR="00396411">
        <w:t xml:space="preserve"> nazionale</w:t>
      </w:r>
      <w:r w:rsidRPr="00067EB0">
        <w:t xml:space="preserve">. In più di un’occasione la Corte si è pronunciata su rinvii originati da procedimenti privi di contraddittorio. È questo il caso, ad esempio, delle sentenze </w:t>
      </w:r>
      <w:r w:rsidRPr="00AE6D2D">
        <w:rPr>
          <w:i/>
        </w:rPr>
        <w:t>Politi</w:t>
      </w:r>
      <w:r w:rsidRPr="00A91232">
        <w:rPr>
          <w:i/>
          <w:snapToGrid w:val="0"/>
          <w:u w:color="000000"/>
          <w:vertAlign w:val="superscript"/>
        </w:rPr>
        <w:t> </w:t>
      </w:r>
      <w:r w:rsidRPr="006E1027">
        <w:rPr>
          <w:rStyle w:val="Rimandonotaapidipagina"/>
        </w:rPr>
        <w:footnoteReference w:id="40"/>
      </w:r>
      <w:r w:rsidRPr="00067EB0">
        <w:t xml:space="preserve"> e </w:t>
      </w:r>
      <w:r w:rsidRPr="00AE6D2D">
        <w:rPr>
          <w:i/>
        </w:rPr>
        <w:t>Birra Dreher</w:t>
      </w:r>
      <w:r w:rsidRPr="006E1027">
        <w:rPr>
          <w:rStyle w:val="Rimandonotaapidipagina"/>
        </w:rPr>
        <w:t> </w:t>
      </w:r>
      <w:r w:rsidRPr="006E1027">
        <w:rPr>
          <w:rStyle w:val="Rimandonotaapidipagina"/>
        </w:rPr>
        <w:footnoteReference w:id="41"/>
      </w:r>
      <w:r w:rsidRPr="00067EB0">
        <w:t>. Nel primo caso, il rinvio era stato disposto dal Presidente del Tribunale di Torino, in esito ad un procedimento speciale, sulla base delle sole allegazioni del ricorrente. Nel secondo, il giudice remittente era il Pretore di Roma, investito di un procedimento di ingiunzione, che assume carattere contraddittorio solo in un momento successivo alla condanna, in caso di opposizione al decreto ingiuntivo. In queste circostanze, una delle parti del procedimento non ha la possibilità di presentare osservazioni circa l’opportunità di una pronuncia pregiudiziale, né di incidere sulla redazione dei quesiti. Tuttavia, si trattava di organi indubbiamente giurisdizionali, relativamente ai quali la carenza del requisito del contraddittorio appariva compensata dalla sicura imparzialità del giudice.</w:t>
      </w:r>
    </w:p>
    <w:p w14:paraId="7385187B" w14:textId="77777777" w:rsidR="002C4301" w:rsidRPr="00067EB0" w:rsidRDefault="002C4301" w:rsidP="002C4301">
      <w:pPr>
        <w:pStyle w:val="Capoverso"/>
      </w:pPr>
      <w:r w:rsidRPr="00067EB0">
        <w:t xml:space="preserve">La questione della natura giurisdizionale di organi nazionali è venuta poi in rilievo in relazione a rinvii pregiudiziali sollevati da </w:t>
      </w:r>
      <w:r w:rsidRPr="00AE6D2D">
        <w:rPr>
          <w:i/>
        </w:rPr>
        <w:t>collegi arbitrali</w:t>
      </w:r>
      <w:r w:rsidRPr="00067EB0">
        <w:t xml:space="preserve"> e da </w:t>
      </w:r>
      <w:r w:rsidRPr="00AE6D2D">
        <w:rPr>
          <w:i/>
        </w:rPr>
        <w:t>organi di ordini professionali</w:t>
      </w:r>
      <w:r w:rsidRPr="00067EB0">
        <w:t>.</w:t>
      </w:r>
    </w:p>
    <w:p w14:paraId="54092EFA" w14:textId="77777777" w:rsidR="002C4301" w:rsidRPr="00067EB0" w:rsidRDefault="002C4301" w:rsidP="002C4301">
      <w:pPr>
        <w:pStyle w:val="Capoverso"/>
        <w:rPr>
          <w:rFonts w:eastAsia="SimonciniGaramondStd"/>
        </w:rPr>
      </w:pPr>
      <w:r w:rsidRPr="00067EB0">
        <w:t xml:space="preserve">Con riguardo ai primi, </w:t>
      </w:r>
      <w:r w:rsidRPr="00067EB0">
        <w:rPr>
          <w:rFonts w:eastAsia="SimonciniGaramondStd" w:cs="SimonciniGaramondStd"/>
        </w:rPr>
        <w:t>la Corte ha escluso in via generale la possibilità di accogliere il loro rinvio pregiudiziale qualora non vi sia alcun obbligo per le parti di risolvere le loro liti mediante arbitrato e le autorità pubbliche non siano implicate nella scelta della via dell’arbitrato</w:t>
      </w:r>
      <w:r w:rsidRPr="006E1027">
        <w:rPr>
          <w:rStyle w:val="Rimandonotaapidipagina"/>
          <w:rFonts w:eastAsia="SimonciniGaramondStd" w:cs="SimonciniGaramondStd"/>
        </w:rPr>
        <w:t> </w:t>
      </w:r>
      <w:r w:rsidRPr="006E1027">
        <w:rPr>
          <w:rStyle w:val="Rimandonotaapidipagina"/>
          <w:rFonts w:eastAsia="SimonciniGaramondStd" w:cs="SimonciniGaramondStd"/>
        </w:rPr>
        <w:footnoteReference w:id="42"/>
      </w:r>
      <w:r w:rsidRPr="00067EB0">
        <w:rPr>
          <w:rFonts w:eastAsia="SimonciniGaramondStd" w:cs="SimonciniGaramondStd"/>
        </w:rPr>
        <w:t>; tuttavia, per consentire in ogni caso che la controversia possa essere portata all’attenzione della Corte, ha ammesso di poter essere adita eventualmente dagli organi giudiziari competenti a controllare le decisioni arbitrali, anche a costo di richiedere al giudice nazionale la disapplicazione di una norma processuale interna che in ipotesi consentisse solo un esame puramente formale del lodo arbitrale</w:t>
      </w:r>
      <w:r w:rsidRPr="006E1027">
        <w:rPr>
          <w:rFonts w:eastAsia="SimonciniGaramondStd" w:cs="SimonciniGaramondStd"/>
          <w:vertAlign w:val="superscript"/>
        </w:rPr>
        <w:t> </w:t>
      </w:r>
      <w:r w:rsidRPr="006E1027">
        <w:rPr>
          <w:rFonts w:eastAsia="SimonciniGaramondStd" w:cs="SimonciniGaramondStd"/>
          <w:vertAlign w:val="superscript"/>
        </w:rPr>
        <w:footnoteReference w:id="43"/>
      </w:r>
      <w:r w:rsidRPr="00067EB0">
        <w:rPr>
          <w:rFonts w:eastAsia="SimonciniGaramondStd" w:cs="SimonciniGaramondStd"/>
        </w:rPr>
        <w:t>. In ogni caso, la ricevibilità del ricorso dipende dalle caratteristiche proprie di ciascun organismo arbitrale, ad esempio se la sua composizione e competen</w:t>
      </w:r>
      <w:r w:rsidRPr="00067EB0">
        <w:rPr>
          <w:rFonts w:eastAsia="SimonciniGaramondStd" w:cs="SimonciniGaramondStd"/>
        </w:rPr>
        <w:lastRenderedPageBreak/>
        <w:t>za siano organizzate dalla legge, se emetta una decisione avente l’autorità della cosa giudicata. La Corte ha pertanto esaminato il rinvio di un tribunale arbitrale in materia di lavoro in quanto la sua composizione e competenza non erano rimesse alla volontà delle parti</w:t>
      </w:r>
      <w:r w:rsidRPr="006E1027">
        <w:rPr>
          <w:rStyle w:val="Rimandonotaapidipagina"/>
          <w:rFonts w:eastAsia="SimonciniGaramondStd" w:cs="SimonciniGaramondStd"/>
        </w:rPr>
        <w:t> </w:t>
      </w:r>
      <w:r w:rsidRPr="006E1027">
        <w:rPr>
          <w:rStyle w:val="Rimandonotaapidipagina"/>
          <w:rFonts w:eastAsia="SimonciniGaramondStd" w:cs="SimonciniGaramondStd"/>
        </w:rPr>
        <w:footnoteReference w:id="44"/>
      </w:r>
      <w:r w:rsidRPr="00067EB0">
        <w:rPr>
          <w:rFonts w:eastAsia="SimonciniGaramondStd" w:cs="SimonciniGaramondStd"/>
        </w:rPr>
        <w:t>.</w:t>
      </w:r>
    </w:p>
    <w:p w14:paraId="7F5C163E" w14:textId="77777777" w:rsidR="002C4301" w:rsidRPr="00067EB0" w:rsidRDefault="002C4301" w:rsidP="002C4301">
      <w:pPr>
        <w:pStyle w:val="Capoverso"/>
      </w:pPr>
      <w:r w:rsidRPr="00067EB0">
        <w:t xml:space="preserve">Una questione peculiare concerne l’istituzione degli arbitrati previsti da accordi internazionali, in quanto tali accordi possono consentire ad alcuni Stati membri di sottrarsi a un pieno controllo del diritto dell’Unione e mettere in discussione non solo il principio di fiducia reciproca tra gli Stati membri, ma anche la salvaguardia del carattere proprio dell’ordinamento istituito dai Trattati, garantito dalla procedura del rinvio pregiudiziale di cui all’art. 267 TFUE. In questa prospettiva, nel noto caso </w:t>
      </w:r>
      <w:r w:rsidRPr="00AE6D2D">
        <w:rPr>
          <w:i/>
          <w:iCs/>
        </w:rPr>
        <w:t xml:space="preserve">Achmea </w:t>
      </w:r>
      <w:r w:rsidRPr="00067EB0">
        <w:t>la Corte di giustizia ha ritenuto in contrasto con gli artt. 267 e 344 TFUE i trattati bilaterali di investimento ancora in vigore tra alcuni Stati membri che prevedono un meccanismo di risoluzione delle controversie, il quale è incentrato su un collegio arbitrale che non può essere qualificato come giurisdizione «di uno degli Stati membri», ai sensi dell’art. 267 TFUE, e non è in grado di garantire la piena efficacia del diritto dell’Unio</w:t>
      </w:r>
      <w:r w:rsidR="00315F69">
        <w:softHyphen/>
      </w:r>
      <w:r w:rsidRPr="00067EB0">
        <w:t>ne</w:t>
      </w:r>
      <w:r w:rsidRPr="006E1027">
        <w:rPr>
          <w:rStyle w:val="Rimandonotaapidipagina"/>
        </w:rPr>
        <w:t> </w:t>
      </w:r>
      <w:r w:rsidRPr="006E1027">
        <w:rPr>
          <w:rStyle w:val="Rimandonotaapidipagina"/>
        </w:rPr>
        <w:footnoteReference w:id="45"/>
      </w:r>
      <w:r w:rsidRPr="00067EB0">
        <w:t>.</w:t>
      </w:r>
      <w:r w:rsidRPr="00067EB0">
        <w:rPr>
          <w:rFonts w:cs="Open Sans"/>
        </w:rPr>
        <w:t xml:space="preserve"> </w:t>
      </w:r>
      <w:r w:rsidRPr="00067EB0">
        <w:t>Ne consegue che gli Stati membri non possono autorizzare parti private a sottoporre delle controversie ad un organo</w:t>
      </w:r>
      <w:r w:rsidRPr="00067EB0">
        <w:rPr>
          <w:rFonts w:cs="Open Sans"/>
        </w:rPr>
        <w:t xml:space="preserve"> </w:t>
      </w:r>
      <w:r w:rsidRPr="00067EB0">
        <w:t>che non fa parte del sistema giurisdizionale dell’Unione</w:t>
      </w:r>
      <w:r w:rsidRPr="00067EB0">
        <w:rPr>
          <w:rFonts w:cs="Open Sans"/>
        </w:rPr>
        <w:t>.</w:t>
      </w:r>
    </w:p>
    <w:p w14:paraId="61FF8E33" w14:textId="089A484B" w:rsidR="002C4301" w:rsidRPr="00067EB0" w:rsidRDefault="002C4301" w:rsidP="002C4301">
      <w:pPr>
        <w:pStyle w:val="Capoverso"/>
      </w:pPr>
      <w:r w:rsidRPr="00067EB0">
        <w:t xml:space="preserve">Per quanto riguarda, poi, gli </w:t>
      </w:r>
      <w:r w:rsidRPr="00AE6D2D">
        <w:rPr>
          <w:i/>
        </w:rPr>
        <w:t>organi di ordini professionali</w:t>
      </w:r>
      <w:r w:rsidRPr="00067EB0">
        <w:t xml:space="preserve">, nella sentenza </w:t>
      </w:r>
      <w:r w:rsidRPr="00AE6D2D">
        <w:rPr>
          <w:i/>
        </w:rPr>
        <w:t>Broekmeulen</w:t>
      </w:r>
      <w:r w:rsidRPr="006E1027">
        <w:rPr>
          <w:rStyle w:val="Rimandonotaapidipagina"/>
        </w:rPr>
        <w:t> </w:t>
      </w:r>
      <w:r w:rsidRPr="006E1027">
        <w:rPr>
          <w:rStyle w:val="Rimandonotaapidipagina"/>
        </w:rPr>
        <w:footnoteReference w:id="46"/>
      </w:r>
      <w:r w:rsidRPr="00067EB0">
        <w:t xml:space="preserve"> la Corte </w:t>
      </w:r>
      <w:r w:rsidR="00396411">
        <w:t>ha precisato che</w:t>
      </w:r>
      <w:r w:rsidRPr="00067EB0">
        <w:t xml:space="preserve">, </w:t>
      </w:r>
      <w:r w:rsidR="00396411">
        <w:t xml:space="preserve">qualora </w:t>
      </w:r>
      <w:r w:rsidRPr="00067EB0">
        <w:t>l’ordinamento giuridico di uno Stato membro affid</w:t>
      </w:r>
      <w:r w:rsidR="00396411">
        <w:t>i</w:t>
      </w:r>
      <w:r w:rsidRPr="00067EB0">
        <w:t xml:space="preserve"> il compito di attuare norme di diritto comunitario ad un organismo professionale che opera sotto un certo controllo amministrativo, e </w:t>
      </w:r>
      <w:r w:rsidR="00396411">
        <w:t xml:space="preserve">qualora </w:t>
      </w:r>
      <w:r w:rsidRPr="00067EB0">
        <w:t>tale organismo cre</w:t>
      </w:r>
      <w:r w:rsidR="00396411">
        <w:t>i</w:t>
      </w:r>
      <w:r w:rsidRPr="00067EB0">
        <w:t xml:space="preserve"> mezzi di ricorso che possono incidere sull’esercizio dei diritti conferitigli dal diritto comunitario, l’efficacia di questo esige che la Corte possa pronunciarsi sulle questioni di interpretazione e di validità che sorgono nell’ambito del contenzioso</w:t>
      </w:r>
      <w:r w:rsidRPr="006E1027">
        <w:rPr>
          <w:rStyle w:val="Rimandonotaapidipagina"/>
        </w:rPr>
        <w:footnoteReference w:id="47"/>
      </w:r>
      <w:r w:rsidRPr="00067EB0">
        <w:t>.</w:t>
      </w:r>
      <w:r w:rsidR="009B637F">
        <w:t xml:space="preserve"> </w:t>
      </w:r>
      <w:r w:rsidR="00396411">
        <w:t>N</w:t>
      </w:r>
      <w:r w:rsidRPr="00067EB0">
        <w:t xml:space="preserve">ella causa </w:t>
      </w:r>
      <w:r w:rsidRPr="00AE6D2D">
        <w:rPr>
          <w:i/>
          <w:iCs/>
        </w:rPr>
        <w:t>Torresi</w:t>
      </w:r>
      <w:r w:rsidRPr="00067EB0">
        <w:t xml:space="preserve"> la Corte ha riconosciuto al Consiglio Nazionale Forense italiano la qualità di giurisdizione in quanto, da un lato, la qualità di membro è incompatibile con quella di consigliere </w:t>
      </w:r>
      <w:r w:rsidR="00396411">
        <w:t>dell’or</w:t>
      </w:r>
      <w:r w:rsidR="000D3AEA">
        <w:softHyphen/>
      </w:r>
      <w:r w:rsidR="00396411">
        <w:t>di</w:t>
      </w:r>
      <w:r w:rsidR="000D3AEA">
        <w:softHyphen/>
      </w:r>
      <w:r w:rsidR="00396411">
        <w:t xml:space="preserve">ne </w:t>
      </w:r>
      <w:r w:rsidRPr="00067EB0">
        <w:t>locale e, dall’altro, esso esercita le proprie funzioni in totale autonomia e nel rispetto delle garanzie costituzionali, emettendo decisioni impugnabili dinanzi alla Corte di Cassazione</w:t>
      </w:r>
      <w:r w:rsidRPr="006E1027">
        <w:rPr>
          <w:rStyle w:val="Rimandonotaapidipagina"/>
        </w:rPr>
        <w:t> </w:t>
      </w:r>
      <w:r w:rsidRPr="006E1027">
        <w:rPr>
          <w:rStyle w:val="Rimandonotaapidipagina"/>
        </w:rPr>
        <w:footnoteReference w:id="48"/>
      </w:r>
      <w:r w:rsidRPr="00067EB0">
        <w:t>.</w:t>
      </w:r>
    </w:p>
    <w:p w14:paraId="23FF3869" w14:textId="6046C891" w:rsidR="002C4301" w:rsidRPr="00067EB0" w:rsidRDefault="002C4301" w:rsidP="002C4301">
      <w:pPr>
        <w:pStyle w:val="Capoverso"/>
      </w:pPr>
      <w:r w:rsidRPr="00067EB0">
        <w:t xml:space="preserve">Quanto alle </w:t>
      </w:r>
      <w:r w:rsidRPr="00AE6D2D">
        <w:rPr>
          <w:i/>
        </w:rPr>
        <w:t>autorità amministrative indipendenti</w:t>
      </w:r>
      <w:r w:rsidRPr="00067EB0">
        <w:t xml:space="preserve">, va segnalato che </w:t>
      </w:r>
      <w:r w:rsidR="0087337C">
        <w:t>spesso dette autorità (è il caso, ad esempio, della nostra AGCOM)</w:t>
      </w:r>
      <w:r w:rsidRPr="00067EB0">
        <w:t>si trovano a dirime</w:t>
      </w:r>
      <w:r w:rsidRPr="00067EB0">
        <w:lastRenderedPageBreak/>
        <w:t>re controversie tra operatori applicando direttamente le norme dell’Unione o norme interne che danno attuazione a direttive comunitarie</w:t>
      </w:r>
      <w:r w:rsidRPr="006E1027">
        <w:rPr>
          <w:rStyle w:val="Rimandonotaapidipagina"/>
        </w:rPr>
        <w:t> </w:t>
      </w:r>
      <w:r w:rsidRPr="006E1027">
        <w:rPr>
          <w:rStyle w:val="Rimandonotaapidipagina"/>
        </w:rPr>
        <w:footnoteReference w:id="49"/>
      </w:r>
      <w:r w:rsidRPr="00067EB0">
        <w:t xml:space="preserve">. </w:t>
      </w:r>
      <w:r w:rsidR="0087337C">
        <w:t xml:space="preserve"> N</w:t>
      </w:r>
      <w:r w:rsidR="0087337C" w:rsidRPr="0087337C">
        <w:t xml:space="preserve">ella sentenza </w:t>
      </w:r>
      <w:r w:rsidR="0087337C" w:rsidRPr="0087337C">
        <w:rPr>
          <w:i/>
        </w:rPr>
        <w:t xml:space="preserve">Asoc. Española de Banca Privada </w:t>
      </w:r>
      <w:r w:rsidR="0087337C" w:rsidRPr="0087337C">
        <w:t xml:space="preserve">la Corte, sia pure con una argomentazione </w:t>
      </w:r>
      <w:r w:rsidR="0087337C">
        <w:t>poco generosa</w:t>
      </w:r>
      <w:r w:rsidR="0087337C" w:rsidRPr="0087337C">
        <w:t>, ha considerato ricevibile un rinvio pregiudiziale proposto dall’orga</w:t>
      </w:r>
      <w:r w:rsidR="000D3AEA">
        <w:softHyphen/>
      </w:r>
      <w:r w:rsidR="0087337C" w:rsidRPr="0087337C">
        <w:t>ni</w:t>
      </w:r>
      <w:r w:rsidR="000D3AEA">
        <w:softHyphen/>
      </w:r>
      <w:r w:rsidR="0087337C" w:rsidRPr="0087337C">
        <w:t>smo spagnolo che si occupa di tutela della concorrenza</w:t>
      </w:r>
      <w:r w:rsidR="0087337C" w:rsidRPr="0087337C">
        <w:rPr>
          <w:vertAlign w:val="superscript"/>
        </w:rPr>
        <w:t> </w:t>
      </w:r>
      <w:r w:rsidR="0087337C" w:rsidRPr="0087337C">
        <w:rPr>
          <w:vertAlign w:val="superscript"/>
        </w:rPr>
        <w:footnoteReference w:id="50"/>
      </w:r>
      <w:r w:rsidR="0087337C" w:rsidRPr="0087337C">
        <w:t xml:space="preserve">. </w:t>
      </w:r>
      <w:r w:rsidRPr="00067EB0">
        <w:t>Successivamente</w:t>
      </w:r>
      <w:r w:rsidRPr="00CD1630">
        <w:t xml:space="preserve">, </w:t>
      </w:r>
      <w:r w:rsidRPr="00067EB0">
        <w:t>la Corte ha raggiunto una diversa soluzione</w:t>
      </w:r>
      <w:r w:rsidRPr="006E1027">
        <w:rPr>
          <w:rStyle w:val="Rimandonotaapidipagina"/>
        </w:rPr>
        <w:t> </w:t>
      </w:r>
      <w:r w:rsidRPr="006E1027">
        <w:rPr>
          <w:rStyle w:val="Rimandonotaapidipagina"/>
        </w:rPr>
        <w:footnoteReference w:id="51"/>
      </w:r>
      <w:r w:rsidRPr="00067EB0">
        <w:t xml:space="preserve">, dichiarando irricevibili i quesiti rivolti dall’autorità </w:t>
      </w:r>
      <w:r w:rsidRPr="00AE6D2D">
        <w:rPr>
          <w:i/>
        </w:rPr>
        <w:t>antitrust</w:t>
      </w:r>
      <w:r w:rsidRPr="00067EB0">
        <w:t xml:space="preserve"> greca per due motivi fondamentali: il legame stretto di tale autorità con l’esecutivo, in particolare con il Ministero dello Sviluppo, e la facoltà riconosciuta alla Commissione, </w:t>
      </w:r>
      <w:r w:rsidRPr="00AE6D2D">
        <w:rPr>
          <w:i/>
        </w:rPr>
        <w:t>ex</w:t>
      </w:r>
      <w:r w:rsidRPr="00067EB0">
        <w:t xml:space="preserve"> art. 11, par. 6, del regolamento n. 1/2003, concernente l’applicazione delle regole di concorrenza di cui agli artt. 81 </w:t>
      </w:r>
      <w:r w:rsidR="009E65FD">
        <w:t>T</w:t>
      </w:r>
      <w:r w:rsidRPr="00067EB0">
        <w:t xml:space="preserve">CE e 82 </w:t>
      </w:r>
      <w:r w:rsidR="009E65FD">
        <w:t>T</w:t>
      </w:r>
      <w:r w:rsidRPr="00067EB0">
        <w:t>CE (ora artt. 101 e 102 TFUE), di avocare a sé la soluzione di un dato procedimento</w:t>
      </w:r>
      <w:r w:rsidRPr="006E1027">
        <w:rPr>
          <w:rStyle w:val="Rimandonotaapidipagina"/>
        </w:rPr>
        <w:t> </w:t>
      </w:r>
      <w:r w:rsidRPr="006E1027">
        <w:rPr>
          <w:rStyle w:val="Rimandonotaapidipagina"/>
        </w:rPr>
        <w:footnoteReference w:id="52"/>
      </w:r>
      <w:r w:rsidRPr="00067EB0">
        <w:t>. Seguendo questo nuovo approccio, la Corte ha escluso che l’attuale autorità di concorrenza, in ragione della mancanza di terzietà e della natura amministrativa del procedimento, possa essere qualificata come giurisdizione nazionale</w:t>
      </w:r>
      <w:r w:rsidRPr="006E1027">
        <w:rPr>
          <w:rStyle w:val="Rimandonotaapidipagina"/>
        </w:rPr>
        <w:t> </w:t>
      </w:r>
      <w:r w:rsidRPr="006E1027">
        <w:rPr>
          <w:rStyle w:val="Rimandonotaapidipagina"/>
        </w:rPr>
        <w:footnoteReference w:id="53"/>
      </w:r>
      <w:r w:rsidRPr="00067EB0">
        <w:t xml:space="preserve">. </w:t>
      </w:r>
    </w:p>
    <w:p w14:paraId="1123CD9E" w14:textId="77777777" w:rsidR="002C4301" w:rsidRPr="00067EB0" w:rsidRDefault="002C4301" w:rsidP="002C4301">
      <w:pPr>
        <w:pStyle w:val="Capoverso"/>
        <w:rPr>
          <w:rFonts w:cs="Open Sans"/>
        </w:rPr>
      </w:pPr>
      <w:r w:rsidRPr="00067EB0">
        <w:t>Più in generale, la Corte ha chiarito che un organismo nazionale può essere qualificato come «giurisdizione», ai sensi dell’art. 267 TFUE, quando esercita funzioni giurisdizionali, mentre nell’esercizio di altre funzioni, di natura amministrativa, tale qualifica non può essergli riconosciuta. In particolare, tale separazione tra le funzioni giurisdizionali e quelle amministrative si realizza «quando determinati procedimenti possono essere avviati dinanzi a tale organismo solo su ricorso e non d’ufficio e detto organismo non può essere convenuto nell’am</w:t>
      </w:r>
      <w:r w:rsidR="00315F69">
        <w:softHyphen/>
      </w:r>
      <w:r w:rsidRPr="00067EB0">
        <w:t>bito di un ricorso giurisdizionale contro le decisioni che esso adotta in esito a</w:t>
      </w:r>
      <w:r w:rsidRPr="00067EB0">
        <w:rPr>
          <w:rFonts w:cs="Open Sans"/>
        </w:rPr>
        <w:t xml:space="preserve"> tali </w:t>
      </w:r>
      <w:r w:rsidRPr="00067EB0">
        <w:t>procedimenti</w:t>
      </w:r>
      <w:r w:rsidRPr="00CD1630">
        <w:rPr>
          <w:rStyle w:val="Rimandonotaapidipagina"/>
        </w:rPr>
        <w:t>”</w:t>
      </w:r>
      <w:r w:rsidRPr="006E1027">
        <w:rPr>
          <w:rStyle w:val="Rimandonotaapidipagina"/>
        </w:rPr>
        <w:t> </w:t>
      </w:r>
      <w:r w:rsidRPr="006E1027">
        <w:rPr>
          <w:rStyle w:val="Rimandonotaapidipagina"/>
        </w:rPr>
        <w:footnoteReference w:id="54"/>
      </w:r>
      <w:r w:rsidRPr="00067EB0">
        <w:rPr>
          <w:rFonts w:cs="Open Sans"/>
        </w:rPr>
        <w:t>.</w:t>
      </w:r>
    </w:p>
    <w:p w14:paraId="2593E617" w14:textId="3C69E87F" w:rsidR="002C4301" w:rsidRPr="00067EB0" w:rsidRDefault="002C4301" w:rsidP="002C4301">
      <w:pPr>
        <w:pStyle w:val="Capoverso"/>
      </w:pPr>
      <w:r w:rsidRPr="00067EB0">
        <w:t xml:space="preserve">Resta, infine, da considerare la posizione delle </w:t>
      </w:r>
      <w:r w:rsidRPr="00AE6D2D">
        <w:rPr>
          <w:i/>
        </w:rPr>
        <w:t>giurisdizioni costituzionali</w:t>
      </w:r>
      <w:r w:rsidRPr="00067EB0">
        <w:t xml:space="preserve"> degli Stati membri. Dal punto di vista meramente formale</w:t>
      </w:r>
      <w:r w:rsidR="0087337C">
        <w:t>, considerata anche l’</w:t>
      </w:r>
      <w:r w:rsidR="00B333B4">
        <w:t>am</w:t>
      </w:r>
      <w:r w:rsidR="000D3AEA">
        <w:softHyphen/>
      </w:r>
      <w:r w:rsidR="00B333B4">
        <w:t>pia varietà di funzioni svolte</w:t>
      </w:r>
      <w:r w:rsidR="0087337C">
        <w:t xml:space="preserve"> nei rispettivi ordinamenti nazionali,</w:t>
      </w:r>
      <w:r w:rsidR="00B333B4">
        <w:t xml:space="preserve"> </w:t>
      </w:r>
      <w:r w:rsidRPr="00067EB0">
        <w:t>nulla osta a che anche le corti costituzionali rientrino nella nozione di giurisdizione nazionale ai sensi del</w:t>
      </w:r>
      <w:r w:rsidR="00315F69">
        <w:softHyphen/>
      </w:r>
      <w:r w:rsidRPr="00067EB0">
        <w:t xml:space="preserve">l’art. 267 TFUE, e la prassi conosce </w:t>
      </w:r>
      <w:r w:rsidR="00B333B4">
        <w:t>numerosi</w:t>
      </w:r>
      <w:r w:rsidRPr="00067EB0">
        <w:t xml:space="preserve"> casi di rinvio operati da dette corti in diversi Stati membri. Con riferimento all’ordinamento italiano, si deve osservare che la Corte costituzionale per </w:t>
      </w:r>
      <w:r w:rsidRPr="00067EB0">
        <w:lastRenderedPageBreak/>
        <w:t>lungo tempo non ha mai azionato lo strumento pregiudiziale</w:t>
      </w:r>
      <w:r w:rsidR="00B333B4">
        <w:t>, affermando anzi,</w:t>
      </w:r>
      <w:r w:rsidR="000D3AEA">
        <w:t xml:space="preserve"> </w:t>
      </w:r>
      <w:r w:rsidR="00B333B4">
        <w:t>i</w:t>
      </w:r>
      <w:r w:rsidRPr="00067EB0">
        <w:t>n una ordinanza del dicembre 1995, che il «giudice comunitario non può essere adito come pur ipotizzato in una precedente pronuncia (sentenza n. 168 del 1991) dalla Corte costituzionale, la quale “esercita essenzialmente una funzione di controllo costituzionale, di suprema garanzia della osservanza della Costituzione della Repubblica da parte degli organi costituzionali dello Stato e di quelli delle Regioni” (sentenza n. 13 del 1960)»</w:t>
      </w:r>
      <w:r w:rsidRPr="006E1027">
        <w:rPr>
          <w:rStyle w:val="Rimandonotaapidipagina"/>
        </w:rPr>
        <w:t> </w:t>
      </w:r>
      <w:r w:rsidRPr="006E1027">
        <w:rPr>
          <w:rStyle w:val="Rimandonotaapidipagina"/>
        </w:rPr>
        <w:footnoteReference w:id="55"/>
      </w:r>
      <w:r w:rsidRPr="00067EB0">
        <w:t>.</w:t>
      </w:r>
    </w:p>
    <w:p w14:paraId="35EEC2F8" w14:textId="455BAA0B" w:rsidR="002C4301" w:rsidRPr="000D3AEA" w:rsidRDefault="002C4301" w:rsidP="002C4301">
      <w:pPr>
        <w:pStyle w:val="Capoverso"/>
        <w:rPr>
          <w:spacing w:val="-2"/>
        </w:rPr>
      </w:pPr>
      <w:r w:rsidRPr="00067EB0">
        <w:t xml:space="preserve">Al di là di tali laconiche enunciazioni, dopo un iniziale </w:t>
      </w:r>
      <w:r w:rsidRPr="00AE6D2D">
        <w:rPr>
          <w:i/>
          <w:iCs/>
        </w:rPr>
        <w:t>self-restraint</w:t>
      </w:r>
      <w:r w:rsidRPr="00067EB0">
        <w:t>, la fondamentale svolta si è realizzata con l’ordinanza del 15 aprile 2008, n. 103, con la quale la Corte costituzionale, nell’ambito di un giudizio in via principale avente ad oggetto la conformità di una legge adottata dalla Regione Sardegna in tema di “tassa sul lusso” con il diritto dell’Unione, ha deciso di sollevare un rinvio pregiudiziale di interpretazione alla Corte di giustizia</w:t>
      </w:r>
      <w:r w:rsidRPr="006E1027">
        <w:rPr>
          <w:rStyle w:val="Rimandonotaapidipagina"/>
        </w:rPr>
        <w:t> </w:t>
      </w:r>
      <w:r w:rsidRPr="006E1027">
        <w:rPr>
          <w:rStyle w:val="Rimandonotaapidipagina"/>
        </w:rPr>
        <w:footnoteReference w:id="56"/>
      </w:r>
      <w:r w:rsidRPr="00067EB0">
        <w:t xml:space="preserve">. Nell’ordinanza si legge che «la Corte costituzionale, pur nella sua peculiare posizione di supremo organo di garanzia costituzionale nell’ordinamento interno, costituisce una </w:t>
      </w:r>
      <w:r w:rsidRPr="000D3AEA">
        <w:rPr>
          <w:spacing w:val="-2"/>
        </w:rPr>
        <w:t>giurisdizione nazionale ai sensi dell’art. 234, par. 3, del Tr</w:t>
      </w:r>
      <w:r w:rsidR="00462C45" w:rsidRPr="000D3AEA">
        <w:rPr>
          <w:spacing w:val="-2"/>
        </w:rPr>
        <w:t>.</w:t>
      </w:r>
      <w:r w:rsidRPr="000D3AEA">
        <w:rPr>
          <w:spacing w:val="-2"/>
        </w:rPr>
        <w:t xml:space="preserve"> CE e, in particolare, una giurisdizione di unica istanza (in quanto contro le sue decisioni – per il disposto del</w:t>
      </w:r>
      <w:r w:rsidR="000D3AEA">
        <w:rPr>
          <w:spacing w:val="-2"/>
        </w:rPr>
        <w:softHyphen/>
      </w:r>
      <w:r w:rsidRPr="000D3AEA">
        <w:rPr>
          <w:spacing w:val="-2"/>
        </w:rPr>
        <w:t>l’art. 137, terzo comma, Cost. – non è ammessa alcuna impugnazione): essa, pertanto, nei giudizi di legittimità costituzionale promossi in via principale è legittimata a proporre questione pregiudiziale davanti alla Corte di giustizia CE; che, in tali giudizi di legittimità costituzionale, a differenza di quelli promossi in via incidentale, questa Corte è l’unico giudice chiamato a pronunciarsi sulla controversia; che conseguentemente, ove nei giudizi di legittimità costituzionale promossi in via principale non fosse possibile effettuare il rinvio pregiudiziale di cui all’art. 234 del Tr</w:t>
      </w:r>
      <w:r w:rsidR="00462C45" w:rsidRPr="000D3AEA">
        <w:rPr>
          <w:spacing w:val="-2"/>
        </w:rPr>
        <w:t>.</w:t>
      </w:r>
      <w:r w:rsidRPr="000D3AEA">
        <w:rPr>
          <w:spacing w:val="-2"/>
        </w:rPr>
        <w:t xml:space="preserve"> CE, risulterebbe leso il generale interesse alla uniforme applicazione del diritto comunitario, quale interpretato dalla Corte di giustizia CE».</w:t>
      </w:r>
    </w:p>
    <w:p w14:paraId="23BA69EE" w14:textId="689739E4" w:rsidR="002C4301" w:rsidRPr="00315F69" w:rsidRDefault="002C4301" w:rsidP="002C4301">
      <w:pPr>
        <w:pStyle w:val="Capoverso"/>
        <w:rPr>
          <w:spacing w:val="-2"/>
        </w:rPr>
      </w:pPr>
      <w:r w:rsidRPr="00315F69">
        <w:rPr>
          <w:spacing w:val="-2"/>
        </w:rPr>
        <w:t>Successivamente, nel 2014 la Corte costituzionale ha sollevato un secondo rinvio pregiudiziale alla Corte di giustizia anche in un giudizio di legittimità costituzionale in via incidentale, riguardante la disciplina dei contratti a termine dei docenti nel settore della scuola</w:t>
      </w:r>
      <w:r w:rsidRPr="00315F69">
        <w:rPr>
          <w:rStyle w:val="Rimandonotaapidipagina"/>
          <w:spacing w:val="-2"/>
        </w:rPr>
        <w:t> </w:t>
      </w:r>
      <w:r w:rsidRPr="00315F69">
        <w:rPr>
          <w:rStyle w:val="Rimandonotaapidipagina"/>
          <w:spacing w:val="-2"/>
        </w:rPr>
        <w:footnoteReference w:id="57"/>
      </w:r>
      <w:r w:rsidRPr="00315F69">
        <w:rPr>
          <w:spacing w:val="-2"/>
        </w:rPr>
        <w:t xml:space="preserve">. Dopodiché, sono stati sempre più frequenti i rinvii alla Corte di giustizia, come ad esempio quello relativo alla nota vicenda </w:t>
      </w:r>
      <w:r w:rsidRPr="00315F69">
        <w:rPr>
          <w:i/>
          <w:spacing w:val="-2"/>
        </w:rPr>
        <w:t>Taricco</w:t>
      </w:r>
      <w:r w:rsidRPr="00315F69">
        <w:rPr>
          <w:rStyle w:val="Rimandonotaapidipagina"/>
          <w:spacing w:val="-2"/>
        </w:rPr>
        <w:t> </w:t>
      </w:r>
      <w:r w:rsidRPr="00315F69">
        <w:rPr>
          <w:rStyle w:val="Rimandonotaapidipagina"/>
          <w:spacing w:val="-2"/>
        </w:rPr>
        <w:footnoteReference w:id="58"/>
      </w:r>
      <w:r w:rsidRPr="00315F69">
        <w:rPr>
          <w:spacing w:val="-2"/>
        </w:rPr>
        <w:t>, concernente la questione del rischio di impunità dei reati in materia di IVA conseguente all’applicazione della disciplina della prescrizione intesa come istituto di diritto sostanziale, nella quale i quesiti pregiudiziali posti dalla Consulta hanno di fatto ottenuto</w:t>
      </w:r>
      <w:r w:rsidRPr="00315F69">
        <w:rPr>
          <w:rStyle w:val="Rimandonotaapidipagina"/>
          <w:spacing w:val="-2"/>
        </w:rPr>
        <w:t> </w:t>
      </w:r>
      <w:r w:rsidRPr="00315F69">
        <w:rPr>
          <w:rStyle w:val="Rimandonotaapidipagina"/>
          <w:spacing w:val="-2"/>
        </w:rPr>
        <w:footnoteReference w:id="59"/>
      </w:r>
      <w:r w:rsidRPr="00315F69">
        <w:rPr>
          <w:spacing w:val="-2"/>
        </w:rPr>
        <w:t xml:space="preserve"> una parziale rivisitazione, da parte </w:t>
      </w:r>
      <w:r w:rsidRPr="00315F69">
        <w:rPr>
          <w:spacing w:val="-2"/>
        </w:rPr>
        <w:lastRenderedPageBreak/>
        <w:t>della Corte di giustizia, di una precedente pronuncia</w:t>
      </w:r>
      <w:r w:rsidRPr="00315F69">
        <w:rPr>
          <w:rStyle w:val="Rimandonotaapidipagina"/>
          <w:spacing w:val="-2"/>
        </w:rPr>
        <w:t> </w:t>
      </w:r>
      <w:r w:rsidRPr="00315F69">
        <w:rPr>
          <w:rStyle w:val="Rimandonotaapidipagina"/>
          <w:spacing w:val="-2"/>
        </w:rPr>
        <w:footnoteReference w:id="60"/>
      </w:r>
      <w:r w:rsidRPr="00315F69">
        <w:rPr>
          <w:spacing w:val="-2"/>
        </w:rPr>
        <w:t xml:space="preserve"> che poneva delicate questioni di rispetto di principi costituzionali interni in tema di legalità e retroattività delle pene. È il caso di ricordare anche l’ordinanza n. 117</w:t>
      </w:r>
      <w:r w:rsidR="00315F69" w:rsidRPr="00315F69">
        <w:rPr>
          <w:spacing w:val="-2"/>
        </w:rPr>
        <w:t>/</w:t>
      </w:r>
      <w:r w:rsidRPr="00315F69">
        <w:rPr>
          <w:spacing w:val="-2"/>
        </w:rPr>
        <w:t>2019, con la quale la Corte costituzionale ha sollevato un rinvio pregiudiziale di interpretazione e di validità sulla questione del diritto al silenzio e alla non autoincriminazione in materia di sanzioni adottate dalla Consob; l’ordinanza n. 182</w:t>
      </w:r>
      <w:r w:rsidR="00315F69" w:rsidRPr="00315F69">
        <w:rPr>
          <w:spacing w:val="-2"/>
        </w:rPr>
        <w:t>/</w:t>
      </w:r>
      <w:r w:rsidRPr="00315F69">
        <w:rPr>
          <w:spacing w:val="-2"/>
        </w:rPr>
        <w:t>2020 concernente il c.d. bonus bebè e l’assegno di maternità dei cittadini di Stati terzi e l’ordinanza n. 29</w:t>
      </w:r>
      <w:r w:rsidR="00315F69" w:rsidRPr="00315F69">
        <w:rPr>
          <w:spacing w:val="-2"/>
        </w:rPr>
        <w:t>/</w:t>
      </w:r>
      <w:r w:rsidRPr="00315F69">
        <w:rPr>
          <w:spacing w:val="-2"/>
        </w:rPr>
        <w:t>2024, in tema di accesso alle prestazioni sociali per i lavoratori cittadini dei Paesi terzi. In definitiva, si è ormai consolidata nella prassi la facoltà in capo alla Corte costituzionale di sottoporre alla Corte di giustizia domande pregiudiziali di interpretazione o di validità tanto nell’ambito di un giudizio di legittimità costituzionale in via principale quanto in quello incidentale. Certo è che sia la Corte costituzionale che la stessa Corte di giustizia non possono che trarre beneficio dalla cooperazione e dal reciproco confronto, se si considera tra l’altro che l’ordinanza di rinvio offre alla prima l’op</w:t>
      </w:r>
      <w:r w:rsidR="000D3AEA">
        <w:rPr>
          <w:spacing w:val="-2"/>
        </w:rPr>
        <w:softHyphen/>
      </w:r>
      <w:r w:rsidRPr="00315F69">
        <w:rPr>
          <w:spacing w:val="-2"/>
        </w:rPr>
        <w:t>portunità di suggerire alla seconda una determinata visione della tutela dei diritti fondamentali, eventualmente anche diversa da quella adottata in precedenza.</w:t>
      </w:r>
    </w:p>
    <w:p w14:paraId="417E8E07" w14:textId="776BE223" w:rsidR="002C4301" w:rsidRPr="00067EB0" w:rsidRDefault="002C4301" w:rsidP="002C4301">
      <w:pPr>
        <w:pStyle w:val="Capoverso"/>
      </w:pPr>
      <w:r w:rsidRPr="00067EB0">
        <w:t xml:space="preserve">Rimane il problema di capire come risolvere i casi (impropriamente definiti di “doppia pregiudizialità”) in cui dinanzi al giudice comune si pongano questioni riguardanti la conformità di una legge sia rispetto alla Costituzione, sia rispetto al diritto dell’Unione. È il caso, ad esempio, di una disposizione normativa sospettata di essere in contrasto al contempo con i diritti fondamentali garantiti dalla </w:t>
      </w:r>
      <w:r w:rsidR="00DA2710">
        <w:t xml:space="preserve">CDFUE </w:t>
      </w:r>
      <w:r w:rsidRPr="00067EB0">
        <w:t>e quelli tutelati dalla prima parte della Costituzione. Riassumendo nei termini essenziali una questione molto complessa, lo stato attuale della giurisprudenza costituzionale, peraltro in continua evoluzione</w:t>
      </w:r>
      <w:r w:rsidRPr="006E1027">
        <w:rPr>
          <w:rStyle w:val="Rimandonotaapidipagina"/>
        </w:rPr>
        <w:t> </w:t>
      </w:r>
      <w:r w:rsidRPr="006E1027">
        <w:rPr>
          <w:rStyle w:val="Rimandonotaapidipagina"/>
        </w:rPr>
        <w:footnoteReference w:id="61"/>
      </w:r>
      <w:r w:rsidRPr="00067EB0">
        <w:t>, è nel senso che il giudice italiano ha a disposizioni diverse soluzioni, senza che tra esse possa individuarsi una priorità</w:t>
      </w:r>
      <w:r w:rsidRPr="006E1027">
        <w:rPr>
          <w:rStyle w:val="Rimandonotaapidipagina"/>
        </w:rPr>
        <w:t> </w:t>
      </w:r>
      <w:r w:rsidRPr="006E1027">
        <w:rPr>
          <w:rStyle w:val="Rimandonotaapidipagina"/>
        </w:rPr>
        <w:footnoteReference w:id="62"/>
      </w:r>
      <w:r w:rsidRPr="00067EB0">
        <w:t>: può, in primo luogo, procedere alla disapplicazione di una norma nazionale qualora in conflitto con una norma europea – primaria o secondaria, scritta o di origine giurisprudenziale – che sia dotata di efficacia diretta, ricorrendo, se necessario, al rinvio pregiudiziale per ottenere dalla Corte di giustizia chiarimenti in merito alla corretta interpretazione o alla validità della norma europea in questione (</w:t>
      </w:r>
      <w:r w:rsidRPr="00AE6D2D">
        <w:rPr>
          <w:i/>
        </w:rPr>
        <w:t>percorso europeo</w:t>
      </w:r>
      <w:r w:rsidRPr="00067EB0">
        <w:t>); ciò con riserva del</w:t>
      </w:r>
      <w:r w:rsidR="00AE5E64">
        <w:softHyphen/>
      </w:r>
      <w:r w:rsidRPr="00067EB0">
        <w:t xml:space="preserve">l’attivazione, dinanzi alla Corte costituzionale, dei c.d. </w:t>
      </w:r>
      <w:r w:rsidRPr="00AE6D2D">
        <w:rPr>
          <w:i/>
        </w:rPr>
        <w:t>controlimiti</w:t>
      </w:r>
      <w:r w:rsidRPr="00067EB0">
        <w:t xml:space="preserve"> qualora ritenga che le risposte fornite dalla Corte di giustizia sollevino un contrasto insanabile con i principi supremi o i diritti </w:t>
      </w:r>
      <w:r w:rsidRPr="00067EB0">
        <w:lastRenderedPageBreak/>
        <w:t>fondamentali garantiti dalla Costituzione, nel qual caso la Corte costituzionale potrebbe dichiarare costituzionalmente illegittima la legge di ratifica dei Trattati europei nella parte in cui intende consentire, nell’ordinamento italiano, l’applicazione di una tale norma “indesiderata”. In alternativa (</w:t>
      </w:r>
      <w:r w:rsidRPr="00AE6D2D">
        <w:rPr>
          <w:i/>
        </w:rPr>
        <w:t>percorso nazionale</w:t>
      </w:r>
      <w:r w:rsidRPr="00067EB0">
        <w:t>), il giudice comune può rivolgersi in prima battuta alla Corte costituzionale, se ritiene che un giudizio da parte di quest’ul</w:t>
      </w:r>
      <w:r w:rsidR="00AE5E64">
        <w:softHyphen/>
      </w:r>
      <w:r w:rsidRPr="00067EB0">
        <w:t xml:space="preserve">tima rispetto alla conformità a Costituzione sia preferibile per la portata </w:t>
      </w:r>
      <w:r w:rsidRPr="00AE6D2D">
        <w:rPr>
          <w:i/>
          <w:iCs/>
        </w:rPr>
        <w:t>erga omnes</w:t>
      </w:r>
      <w:r w:rsidRPr="00067EB0">
        <w:t xml:space="preserve"> della pronuncia, nel senso che, se la questione di legittimità costituzionale è ritenuta fondata, si verifica la rimozione definitiva della legge dall’ordi</w:t>
      </w:r>
      <w:r w:rsidR="000D3AEA">
        <w:softHyphen/>
      </w:r>
      <w:r w:rsidRPr="00067EB0">
        <w:t>na</w:t>
      </w:r>
      <w:r w:rsidR="00AE5E64">
        <w:softHyphen/>
      </w:r>
      <w:r w:rsidRPr="00067EB0">
        <w:t>mento. La Corte costituzionale potrebbe tuttavia a sua volta proporre il rinvio pregiudiziale alla Corte di giustizia, per ottenere i necessari chiarimenti sulla compatibilità comunitaria della norma interna, ai fini della soluzione della questione di costituzionalità. Va da sé che quest’ultimo percorso, che la Consulta sembra implicitamente preferire, nella misura in cui non riconosce al giusto i “pieni poteri” del giudice comune ed in particolare quello di dare immediata soddisfazione alla parte nel giusto con la disapplicazione della norma interna incompatibile, solleva fondati dubbi in tema di rapida definizione delle cause e quindi di rispetto del principio</w:t>
      </w:r>
      <w:r w:rsidR="00EE4E44">
        <w:t xml:space="preserve"> costituzionale</w:t>
      </w:r>
      <w:r w:rsidRPr="00067EB0">
        <w:t xml:space="preserve"> della durata ragionevole dei processi. Meglio sarebbe, quindi, nel rispetto del principio di prossimità, ricorrere al primo percorso, quanto meno in tutti i casi in cui la vicenda processuale appare direttamente influenzata dalla disciplina europea.</w:t>
      </w:r>
    </w:p>
    <w:p w14:paraId="2F1B6FB8" w14:textId="77777777" w:rsidR="002C4301" w:rsidRPr="00190E78" w:rsidRDefault="002C4301" w:rsidP="002C4301">
      <w:pPr>
        <w:pStyle w:val="Paragrafo"/>
      </w:pPr>
      <w:r w:rsidRPr="00190E78">
        <w:t>4. Facoltà ed obbligo di rinvio</w:t>
      </w:r>
    </w:p>
    <w:p w14:paraId="4A99C321" w14:textId="77777777" w:rsidR="002C4301" w:rsidRPr="00315F69" w:rsidRDefault="002C4301" w:rsidP="002C4301">
      <w:pPr>
        <w:pStyle w:val="Capoverso"/>
        <w:rPr>
          <w:spacing w:val="-1"/>
        </w:rPr>
      </w:pPr>
      <w:r w:rsidRPr="00315F69">
        <w:rPr>
          <w:spacing w:val="-1"/>
        </w:rPr>
        <w:t xml:space="preserve">L’art. 267 TFUE dispone un obbligo di rinvio soltanto in capo alle giurisdizioni </w:t>
      </w:r>
      <w:r w:rsidR="00CB1DED">
        <w:rPr>
          <w:spacing w:val="-1"/>
        </w:rPr>
        <w:t xml:space="preserve">nazionali </w:t>
      </w:r>
      <w:r w:rsidRPr="00315F69">
        <w:rPr>
          <w:spacing w:val="-1"/>
        </w:rPr>
        <w:t>avverso le cui decisioni non possano proporsi ricorsi giurisdizionali di diritto interno. Tutte le altre giurisdizioni hanno, invece, una mera facoltà di rinvio.</w:t>
      </w:r>
    </w:p>
    <w:p w14:paraId="07DFA84D" w14:textId="7A597F49" w:rsidR="002C4301" w:rsidRPr="000D3AEA" w:rsidRDefault="002C4301" w:rsidP="002C4301">
      <w:pPr>
        <w:pStyle w:val="Capoverso"/>
        <w:rPr>
          <w:spacing w:val="-2"/>
        </w:rPr>
      </w:pPr>
      <w:r w:rsidRPr="000D3AEA">
        <w:rPr>
          <w:spacing w:val="-2"/>
        </w:rPr>
        <w:t>Si tratta di una soluzione che costituisce il giusto compromesso tra due estremi. Se infatti gli autori dei trattati avessero disposto un obbligo di rinvio anche in capo alle giurisdizioni non di ultima istanza si sarebbe prevedibilmente avuto un eccessivo carico di lavoro della Corte, nonché un sistematico rallentamento dei procedimenti nazionali. Viceversa, se avessero optato per concedere alle giurisdizioni di ogni grado la facoltà di sollevare rinvio, senza prevedere alcun obbligo almeno, appunto, per i giudici di ultima istanza, l’uniformità interpretativa ed applicativa del diritto dell’Unione sarebbe stata in pericolo, in quanto interamente rimessa alla discrezionalità dei giudici nazionali. La soluzione codificata nell’art. 267 mira, pertanto, a coniugare la garanzia dell’uniforme interpretazione ed appli</w:t>
      </w:r>
      <w:r w:rsidR="000D3AEA">
        <w:rPr>
          <w:spacing w:val="-2"/>
        </w:rPr>
        <w:softHyphen/>
      </w:r>
      <w:r w:rsidRPr="000D3AEA">
        <w:rPr>
          <w:spacing w:val="-2"/>
        </w:rPr>
        <w:t>cazione del diritto dell’Unione con l’interesse al buon funzionamento della Corte ed alla ragionevole durata dei procedimenti giurisdizionali.</w:t>
      </w:r>
    </w:p>
    <w:p w14:paraId="2A484740" w14:textId="60D95C1D" w:rsidR="002C4301" w:rsidRPr="000D3AEA" w:rsidRDefault="002C4301" w:rsidP="002C4301">
      <w:pPr>
        <w:pStyle w:val="Capoverso"/>
        <w:rPr>
          <w:spacing w:val="-2"/>
        </w:rPr>
      </w:pPr>
      <w:r w:rsidRPr="000D3AEA">
        <w:rPr>
          <w:spacing w:val="-2"/>
        </w:rPr>
        <w:lastRenderedPageBreak/>
        <w:t xml:space="preserve">La </w:t>
      </w:r>
      <w:r w:rsidRPr="000D3AEA">
        <w:rPr>
          <w:i/>
          <w:spacing w:val="-2"/>
        </w:rPr>
        <w:t>ratio</w:t>
      </w:r>
      <w:r w:rsidRPr="000D3AEA">
        <w:rPr>
          <w:spacing w:val="-2"/>
        </w:rPr>
        <w:t xml:space="preserve"> dell’obbligo in capo alle giurisdizioni di ultima istanza è facilmente intuibile. In primo luogo, si tratta delle giurisdizioni di fronte alle quali le controversie vengono definitivamente decise e, dunque, dell’ultima sede in cui è possibile esperire un rinvio pregiudiziale. In secondo luogo, anche in ordinamenti di </w:t>
      </w:r>
      <w:r w:rsidRPr="000D3AEA">
        <w:rPr>
          <w:i/>
          <w:spacing w:val="-2"/>
        </w:rPr>
        <w:t>civil law</w:t>
      </w:r>
      <w:r w:rsidRPr="000D3AEA">
        <w:rPr>
          <w:spacing w:val="-2"/>
        </w:rPr>
        <w:t xml:space="preserve">, come il nostro, in cui non vige il principio dello </w:t>
      </w:r>
      <w:r w:rsidRPr="000D3AEA">
        <w:rPr>
          <w:i/>
          <w:spacing w:val="-2"/>
        </w:rPr>
        <w:t>stare decisis</w:t>
      </w:r>
      <w:r w:rsidRPr="000D3AEA">
        <w:rPr>
          <w:spacing w:val="-2"/>
        </w:rPr>
        <w:t xml:space="preserve"> (aderenza al precedente), la giurisprudenza delle corti superiori costituisce un parametro decisivo per le decisioni dei giudici di grado inferiore, influenzandole sensibilmente. Perciò, come ripetutamente affermato dalla stessa Corte di giustizia, l’obbligo di rinvio imposto ai giudici interni le cui decisioni non possono essere oggetto di ricorso «mira in particolare ad evitare che in uno Stato membro si consolidi una giurisprudenza nazionale in contrasto con le norme comunitarie»</w:t>
      </w:r>
      <w:r w:rsidRPr="000D3AEA">
        <w:rPr>
          <w:rStyle w:val="Rimandonotaapidipagina"/>
          <w:spacing w:val="-2"/>
        </w:rPr>
        <w:t> </w:t>
      </w:r>
      <w:r w:rsidRPr="000D3AEA">
        <w:rPr>
          <w:rStyle w:val="Rimandonotaapidipagina"/>
          <w:spacing w:val="-2"/>
        </w:rPr>
        <w:footnoteReference w:id="63"/>
      </w:r>
      <w:r w:rsidRPr="000D3AEA">
        <w:rPr>
          <w:spacing w:val="-2"/>
        </w:rPr>
        <w:t>.</w:t>
      </w:r>
    </w:p>
    <w:p w14:paraId="31E21B59" w14:textId="77777777" w:rsidR="002C4301" w:rsidRPr="00067EB0" w:rsidRDefault="002C4301" w:rsidP="002C4301">
      <w:pPr>
        <w:pStyle w:val="Capoverso"/>
      </w:pPr>
      <w:r w:rsidRPr="00067EB0">
        <w:t>Considerata l’importanza decisiva del procedimento di rinvio pregiudiziale per l’unità e l’uniformità del diritto dell’Unione (v. par. 1), la facoltà conferita dal secondo comma dell’art. 267 alle giurisdizioni non di ultima istanza non può essere limitata né da un eventuale accordo contrario tra le parti, né da norme di diritto interno. Con riferimento a quest’ultimo profilo, nessuna regola procedurale interna può quindi privare il giudice nazionale dell’ampia facoltà contemplata dal Trattato di effettuare un rinvio pregiudiziale</w:t>
      </w:r>
      <w:r w:rsidRPr="006E1027">
        <w:rPr>
          <w:rStyle w:val="Rimandonotaapidipagina"/>
        </w:rPr>
        <w:t> </w:t>
      </w:r>
      <w:r w:rsidRPr="006E1027">
        <w:rPr>
          <w:rStyle w:val="Rimandonotaapidipagina"/>
        </w:rPr>
        <w:footnoteReference w:id="64"/>
      </w:r>
      <w:r w:rsidRPr="00067EB0">
        <w:t>. Una regola siffatta contrasterebbe con il principio generale della “tutela effettiva” delle posizioni giuridiche soggettive attribuite dal diritto dell’Unione e dovrebbe dunque essere disapplicata dal giudice: il potenziale intervento della Corte di giustizia, in via pregiudiziale, in tutti i procedimenti nazionali in cui si discute dell’applicazione del diritto dell’Unione è infatti una fondamentale garanzia per i privati.</w:t>
      </w:r>
    </w:p>
    <w:p w14:paraId="4A3FE88B" w14:textId="0AEE4593" w:rsidR="002C4301" w:rsidRPr="00067EB0" w:rsidRDefault="002C4301" w:rsidP="002C4301">
      <w:pPr>
        <w:pStyle w:val="Capoverso"/>
      </w:pPr>
      <w:r w:rsidRPr="00067EB0">
        <w:t xml:space="preserve">Una questione legata a questa ipotesi si è posta nella causa </w:t>
      </w:r>
      <w:r w:rsidRPr="00AE6D2D">
        <w:rPr>
          <w:i/>
        </w:rPr>
        <w:t>Rheinmühlen</w:t>
      </w:r>
      <w:r w:rsidRPr="00067EB0">
        <w:t>, avente ad oggetto una norma di diritto processuale tedesco che, nei casi di cassazione della sentenza e successiva remissione al giudice di grado inferiore, vincolava quest’ultimo al rispetto delle valutazioni giuridiche emananti nella sentenza di remissione, escludendo il rinvio alla Corte di giustizia. Questa, interrogata circa la compatibilità di una simile norma con l’art. 234 CE, ha affermato che le magistrature nazionali godono «della più ampia facoltà di adire la Corte». Pertanto, qualora il giudice non di ultima istanza ritenga che il vincolo a rispettare le valutazioni del giudice superiore possa risolversi in una sentenza incompatibile con il diritto dell’Unione «deve rimanere libero di interpellare la Corte sui punti che gli paiono nebulosi», disapplicando dunque, all’occorrenza, la regola processuale interna che disponga il contrario.</w:t>
      </w:r>
    </w:p>
    <w:p w14:paraId="5ECF44CA" w14:textId="71EFDC49" w:rsidR="00DF2C1C" w:rsidRPr="000D3AEA" w:rsidRDefault="002C4301" w:rsidP="00DF2C1C">
      <w:pPr>
        <w:pStyle w:val="Capoverso"/>
        <w:rPr>
          <w:spacing w:val="-4"/>
        </w:rPr>
      </w:pPr>
      <w:r w:rsidRPr="000D3AEA">
        <w:rPr>
          <w:spacing w:val="-4"/>
        </w:rPr>
        <w:lastRenderedPageBreak/>
        <w:t>Sulla scorta di tali considerazioni, in successive decisioni la Corte ha altresì ritenuto contrastante con l’art. 267 TFUE l’art. 99, terzo comma, del codice del processo amministrativo italiano nella parte in cui stabilisce la vincolatività per tutte le Sezioni ed i Collegi del Consiglio di Stato del principio di diritto enunciato dal</w:t>
      </w:r>
      <w:r w:rsidR="000D3AEA">
        <w:rPr>
          <w:spacing w:val="-4"/>
        </w:rPr>
        <w:softHyphen/>
      </w:r>
      <w:r w:rsidRPr="000D3AEA">
        <w:rPr>
          <w:spacing w:val="-4"/>
        </w:rPr>
        <w:t>l’adunanza plenaria dello stesso Consiglio</w:t>
      </w:r>
      <w:r w:rsidRPr="000D3AEA">
        <w:rPr>
          <w:rStyle w:val="Rimandonotaapidipagina"/>
          <w:spacing w:val="-4"/>
        </w:rPr>
        <w:t> </w:t>
      </w:r>
      <w:r w:rsidRPr="000D3AEA">
        <w:rPr>
          <w:rStyle w:val="Rimandonotaapidipagina"/>
          <w:spacing w:val="-4"/>
        </w:rPr>
        <w:footnoteReference w:id="65"/>
      </w:r>
      <w:r w:rsidRPr="000D3AEA">
        <w:rPr>
          <w:spacing w:val="-4"/>
        </w:rPr>
        <w:t>.</w:t>
      </w:r>
      <w:r w:rsidR="00CB1DED" w:rsidRPr="000D3AEA">
        <w:rPr>
          <w:spacing w:val="-4"/>
        </w:rPr>
        <w:t xml:space="preserve"> Finanche il vincolo, imposto dalla Costituzione nazionale, di rispettare il giudicato costituzionale non è capace di impedire al giudice nazionale di rivolgere quesiti pregiudiziali alla Corte di giustizia</w:t>
      </w:r>
      <w:r w:rsidR="00CC1751" w:rsidRPr="000D3AEA">
        <w:rPr>
          <w:spacing w:val="-4"/>
        </w:rPr>
        <w:t>.</w:t>
      </w:r>
    </w:p>
    <w:p w14:paraId="4604FA39" w14:textId="1DD711B6" w:rsidR="002C4301" w:rsidRPr="00F52656" w:rsidRDefault="002C4301" w:rsidP="00DF2C1C">
      <w:pPr>
        <w:pStyle w:val="Capoverso"/>
        <w:rPr>
          <w:spacing w:val="-3"/>
        </w:rPr>
      </w:pPr>
      <w:r w:rsidRPr="00F52656">
        <w:rPr>
          <w:spacing w:val="-3"/>
        </w:rPr>
        <w:t>La libertà di cui dispone il giudice nazionale non di ultima istanza non può neanche essere limitata, come accennato, da atti di natura contrattuale, quale una convenzione tra privati avente lo scopo di obbligare i giudici degli Stati membri a chiedere una pronunzia pregiudiziale</w:t>
      </w:r>
      <w:r w:rsidRPr="00F52656">
        <w:rPr>
          <w:rStyle w:val="Rimandonotaapidipagina"/>
          <w:spacing w:val="-3"/>
        </w:rPr>
        <w:t> </w:t>
      </w:r>
      <w:r w:rsidRPr="00F52656">
        <w:rPr>
          <w:rStyle w:val="Rimandonotaapidipagina"/>
          <w:spacing w:val="-3"/>
        </w:rPr>
        <w:footnoteReference w:id="66"/>
      </w:r>
      <w:r w:rsidRPr="00F52656">
        <w:rPr>
          <w:spacing w:val="-3"/>
        </w:rPr>
        <w:t>. Analogamente, detta libertà non può esser condizionata dalle soluzioni adottate, in merito all’interpretazione della medesima norma dell’Unione, da autorità amministrative operanti in altri Paesi membri</w:t>
      </w:r>
      <w:r w:rsidRPr="00F52656">
        <w:rPr>
          <w:rStyle w:val="Rimandonotaapidipagina"/>
          <w:spacing w:val="-3"/>
        </w:rPr>
        <w:t> </w:t>
      </w:r>
      <w:r w:rsidRPr="00F52656">
        <w:rPr>
          <w:rStyle w:val="Rimandonotaapidipagina"/>
          <w:spacing w:val="-3"/>
        </w:rPr>
        <w:footnoteReference w:id="67"/>
      </w:r>
      <w:r w:rsidRPr="00F52656">
        <w:rPr>
          <w:spacing w:val="-3"/>
        </w:rPr>
        <w:t>.</w:t>
      </w:r>
    </w:p>
    <w:p w14:paraId="4800442F" w14:textId="77777777" w:rsidR="002C4301" w:rsidRPr="00067EB0" w:rsidRDefault="002C4301" w:rsidP="002C4301">
      <w:pPr>
        <w:pStyle w:val="Capoverso"/>
      </w:pPr>
      <w:r w:rsidRPr="00067EB0">
        <w:t>Quanto al terzo comma dell’art. 267 TFUE, occorre precisare cosa debba intendersi per «giurisdizione nazionale, avverso le cui decisioni non possa proporsi un ricorso giurisdizionale di diritto interno». Rientrano senz’altro nell’ambito di applicazione della norma quelle giurisdizioni che si collocano all’apice del sistema giurisdizionale nazionale. È indifferente al riguardo che si tratti di corti aventi competenza generale, come la Corte Suprema di Cassazione in Italia</w:t>
      </w:r>
      <w:r w:rsidRPr="006E1027">
        <w:rPr>
          <w:rStyle w:val="Rimandonotaapidipagina"/>
        </w:rPr>
        <w:t> </w:t>
      </w:r>
      <w:r w:rsidRPr="006E1027">
        <w:rPr>
          <w:rStyle w:val="Rimandonotaapidipagina"/>
        </w:rPr>
        <w:footnoteReference w:id="68"/>
      </w:r>
      <w:r w:rsidRPr="00067EB0">
        <w:t>, o di giurisdizioni specializzate come la Suprema Corte in materia fiscale olandese (</w:t>
      </w:r>
      <w:r w:rsidRPr="00AE6D2D">
        <w:rPr>
          <w:i/>
        </w:rPr>
        <w:t>Tariefcommissie</w:t>
      </w:r>
      <w:r w:rsidRPr="00067EB0">
        <w:t>)</w:t>
      </w:r>
      <w:r w:rsidRPr="006E1027">
        <w:rPr>
          <w:rStyle w:val="Rimandonotaapidipagina"/>
        </w:rPr>
        <w:t> </w:t>
      </w:r>
      <w:r w:rsidRPr="006E1027">
        <w:rPr>
          <w:rStyle w:val="Rimandonotaapidipagina"/>
        </w:rPr>
        <w:footnoteReference w:id="69"/>
      </w:r>
      <w:r w:rsidRPr="00067EB0">
        <w:t>.</w:t>
      </w:r>
    </w:p>
    <w:p w14:paraId="4D4492FE" w14:textId="77777777" w:rsidR="002C4301" w:rsidRPr="00067EB0" w:rsidRDefault="002C4301" w:rsidP="002C4301">
      <w:pPr>
        <w:pStyle w:val="Capoverso"/>
      </w:pPr>
      <w:r w:rsidRPr="00067EB0">
        <w:t xml:space="preserve">In armonia con la </w:t>
      </w:r>
      <w:r w:rsidRPr="00AE6D2D">
        <w:rPr>
          <w:i/>
        </w:rPr>
        <w:t>ratio</w:t>
      </w:r>
      <w:r w:rsidRPr="00067EB0">
        <w:t xml:space="preserve"> della disposizione, sono inoltre destinatari dell’obbli</w:t>
      </w:r>
      <w:r w:rsidR="00F52656">
        <w:softHyphen/>
      </w:r>
      <w:r w:rsidRPr="00067EB0">
        <w:t xml:space="preserve">go in esame tutti i giudici nazionali competenti a pronunciarsi con </w:t>
      </w:r>
      <w:r w:rsidRPr="00067EB0">
        <w:lastRenderedPageBreak/>
        <w:t>decisione definitiva, indipendentemente dalla loro collocazione nella gerarchia dell’ordina</w:t>
      </w:r>
      <w:r w:rsidR="00F52656">
        <w:softHyphen/>
      </w:r>
      <w:r w:rsidRPr="00067EB0">
        <w:t xml:space="preserve">mento giudiziario. È questo il caso verificatosi nella celebre causa </w:t>
      </w:r>
      <w:r w:rsidRPr="00AE6D2D">
        <w:rPr>
          <w:i/>
        </w:rPr>
        <w:t>Costa c. Enel</w:t>
      </w:r>
      <w:r w:rsidRPr="00067EB0">
        <w:t xml:space="preserve">, originante da un rinvio pregiudiziale del giudice conciliatore di Milano, giurisdizione allora competente a decidere in unico grado controversie di modesto valore economico. La Corte, in un </w:t>
      </w:r>
      <w:r w:rsidRPr="00AE6D2D">
        <w:rPr>
          <w:i/>
        </w:rPr>
        <w:t>obiter dictum</w:t>
      </w:r>
      <w:r w:rsidRPr="00067EB0">
        <w:t xml:space="preserve"> della sentenza, riconobbe che il detto giudice era tenuto a sollevare rinvio pregiudiziale poiché le sue sentenze non erano, appunto, impugnabili</w:t>
      </w:r>
      <w:r w:rsidRPr="006E1027">
        <w:rPr>
          <w:rStyle w:val="Rimandonotaapidipagina"/>
        </w:rPr>
        <w:t> </w:t>
      </w:r>
      <w:r w:rsidRPr="006E1027">
        <w:rPr>
          <w:rStyle w:val="Rimandonotaapidipagina"/>
        </w:rPr>
        <w:footnoteReference w:id="70"/>
      </w:r>
      <w:r w:rsidRPr="00067EB0">
        <w:t>.</w:t>
      </w:r>
    </w:p>
    <w:p w14:paraId="5AC804E5" w14:textId="2DDDBDC2" w:rsidR="002C4301" w:rsidRPr="00067EB0" w:rsidRDefault="002C4301" w:rsidP="002C4301">
      <w:pPr>
        <w:pStyle w:val="Capoverso"/>
      </w:pPr>
      <w:r w:rsidRPr="00067EB0">
        <w:t>Un peculiare problema sorto nell’applicazione dell’art. 267, terzo comma, riguarda poi i mezzi di impugnazione dei provvedimenti cautelari. In particolare, ci si è chiesti se il giudice che si pronuncia in un procedimento sommario con decisione non impugnabile, sia soggetto all’obbligo di rinvio. In proposito, la Corte, in più di un’occasione, ha affermato che, se vi è la possibilità di riesame nel corso di un giudizio di merito del provvedimento preso in esito ad un procedimento sommario, come di norma avviene nel processo italiano, il giudice in questione non deve ritenersi di ultima istanza, anche se la sua decisione non è impugnabile nella fase cautelare. Se il soccombente ha la facoltà di promuovere un giudizio di merito, la possibilità di sottoporre alla Corte eventuali quesiti pregiudiziali, infatti, è ancora aperta</w:t>
      </w:r>
      <w:r w:rsidRPr="006E1027">
        <w:rPr>
          <w:rStyle w:val="Rimandonotaapidipagina"/>
        </w:rPr>
        <w:t> </w:t>
      </w:r>
      <w:r w:rsidRPr="006E1027">
        <w:rPr>
          <w:rStyle w:val="Rimandonotaapidipagina"/>
        </w:rPr>
        <w:footnoteReference w:id="71"/>
      </w:r>
      <w:r w:rsidRPr="00067EB0">
        <w:t>. In buona sostanza, ciò che conta per la Corte è che sia assicurato il fine dell’obbligo di rinvio, ossia impedire che in uno Stato membro si consolidi una giurisprudenza nazionale in contrasto con le norme comunitarie. Nel caso della tutela cautelare, se tale fine può realizzarsi attraverso l’instaurazione di un giudizio di merito, non rileva il dato formale rappresentato dall’impossibilità di impugnare il provvedimento d’urgenza.</w:t>
      </w:r>
    </w:p>
    <w:p w14:paraId="6C4C4826" w14:textId="77777777" w:rsidR="002C4301" w:rsidRPr="00AE6D2D" w:rsidRDefault="002C4301" w:rsidP="002C4301">
      <w:pPr>
        <w:pStyle w:val="Sottoparagrafo"/>
      </w:pPr>
      <w:r w:rsidRPr="00774FBF">
        <w:rPr>
          <w:i w:val="0"/>
        </w:rPr>
        <w:t>4.1.</w:t>
      </w:r>
      <w:r w:rsidRPr="00AE6D2D">
        <w:t xml:space="preserve"> Temperamenti dell’obbligo di rinvio</w:t>
      </w:r>
    </w:p>
    <w:p w14:paraId="4578D596" w14:textId="77777777" w:rsidR="002C4301" w:rsidRPr="00067EB0" w:rsidRDefault="002C4301" w:rsidP="002C4301">
      <w:pPr>
        <w:pStyle w:val="Capoverso"/>
      </w:pPr>
      <w:r w:rsidRPr="00067EB0">
        <w:t>L’obbligo di rinvio di cui all’art. 267, terzo comma, TFUE ha subito nella giurisprudenza della Corte talune attenuazioni.</w:t>
      </w:r>
    </w:p>
    <w:p w14:paraId="47A6B807" w14:textId="221FAFF4" w:rsidR="002C4301" w:rsidRPr="00067EB0" w:rsidRDefault="002C4301" w:rsidP="002C4301">
      <w:pPr>
        <w:pStyle w:val="Capoverso"/>
      </w:pPr>
      <w:r w:rsidRPr="00067EB0">
        <w:t xml:space="preserve">Fin dai primi anni dall’entrata in vigore del trattato si pose il problema di stabilire se l’obbligo in parola implicasse un rinvio automatico o viceversa richiedesse una previa, discrezionale valutazione da parte della giurisdizione nazionale di ultima istanza. La questione si pose per la prima volta nella causa </w:t>
      </w:r>
      <w:r w:rsidRPr="00AE6D2D">
        <w:rPr>
          <w:i/>
        </w:rPr>
        <w:t>Da Costa en Schaake</w:t>
      </w:r>
      <w:r w:rsidRPr="00067EB0">
        <w:t xml:space="preserve">, nella quale la Corte era chiamata a rispondere ad un quesito pregiudiziale materialmente identico a quello che aveva dato origine </w:t>
      </w:r>
      <w:r w:rsidRPr="00067EB0">
        <w:lastRenderedPageBreak/>
        <w:t xml:space="preserve">alla nota sentenza </w:t>
      </w:r>
      <w:r w:rsidRPr="00AE6D2D">
        <w:rPr>
          <w:i/>
        </w:rPr>
        <w:t>Van Gend en Loos</w:t>
      </w:r>
      <w:r w:rsidRPr="00A91232">
        <w:rPr>
          <w:i/>
          <w:snapToGrid w:val="0"/>
          <w:u w:color="000000"/>
          <w:vertAlign w:val="superscript"/>
        </w:rPr>
        <w:t> </w:t>
      </w:r>
      <w:r w:rsidRPr="006E1027">
        <w:rPr>
          <w:rStyle w:val="Rimandonotaapidipagina"/>
        </w:rPr>
        <w:footnoteReference w:id="72"/>
      </w:r>
      <w:r w:rsidRPr="00067EB0">
        <w:t>. Con sentenza del 27 marzo 1963 la Corte affermava che, «se l’art. 177 [oggi art. 267</w:t>
      </w:r>
      <w:r w:rsidR="00085143">
        <w:t xml:space="preserve"> TFUE</w:t>
      </w:r>
      <w:r w:rsidRPr="00067EB0">
        <w:t>] ultimo comma, impone, senza restrizioni, ai fori nazionali [...] le cui decisioni non sono impugnabili secondo l’ordina</w:t>
      </w:r>
      <w:r w:rsidR="00F52656">
        <w:softHyphen/>
      </w:r>
      <w:r w:rsidRPr="00067EB0">
        <w:t>mento interno, di deferire alla Corte qualsiasi questione dinanzi ad essa sollevata, l’autorità dell’interpretazione data dalla Corte ai sensi dell’art. 177 può tuttavia far cadere la causa di tale obbligo e così renderlo senza contenuto. Ciò si verifica in ispecie qualora la questione sollevata sia materialmente identica ad altra questione, sollevata in relazione ad analoga fattispecie, che sia già stata decisa in via pregiudiziale»</w:t>
      </w:r>
      <w:r w:rsidRPr="006E1027">
        <w:rPr>
          <w:rStyle w:val="Rimandonotaapidipagina"/>
        </w:rPr>
        <w:t> </w:t>
      </w:r>
      <w:r w:rsidRPr="006E1027">
        <w:rPr>
          <w:rStyle w:val="Rimandonotaapidipagina"/>
        </w:rPr>
        <w:footnoteReference w:id="73"/>
      </w:r>
      <w:r w:rsidRPr="00067EB0">
        <w:t xml:space="preserve">. </w:t>
      </w:r>
    </w:p>
    <w:p w14:paraId="61EECAE5" w14:textId="4DE37458" w:rsidR="002C4301" w:rsidRPr="00AE5E64" w:rsidRDefault="002C4301" w:rsidP="002C4301">
      <w:pPr>
        <w:pStyle w:val="Capoverso"/>
        <w:rPr>
          <w:spacing w:val="3"/>
        </w:rPr>
      </w:pPr>
      <w:r w:rsidRPr="00AE5E64">
        <w:rPr>
          <w:spacing w:val="3"/>
        </w:rPr>
        <w:t xml:space="preserve">Come la Corte ha successivamente specificato, il principio enunciato nella sentenza </w:t>
      </w:r>
      <w:r w:rsidRPr="00AE5E64">
        <w:rPr>
          <w:i/>
          <w:spacing w:val="3"/>
        </w:rPr>
        <w:t>Da Costa en Schaake</w:t>
      </w:r>
      <w:r w:rsidRPr="00AE5E64">
        <w:rPr>
          <w:spacing w:val="3"/>
        </w:rPr>
        <w:t xml:space="preserve"> si applica anche quando, sebbene non vi sia una perfetta identità tra i procedimenti e le materie del contendere, la questione di diritto comunitario sottoposta all’attenzione del giudice di ultima istanza sia oggetto di una giurisprudenza costante della Corte. Ciò che rileva è dunque, in ultima analisi, che la questione abbia già costituito oggetto di interpretazione</w:t>
      </w:r>
      <w:r w:rsidRPr="00AE5E64">
        <w:rPr>
          <w:rStyle w:val="Rimandonotaapidipagina"/>
          <w:spacing w:val="3"/>
        </w:rPr>
        <w:t> </w:t>
      </w:r>
      <w:r w:rsidRPr="00AE5E64">
        <w:rPr>
          <w:rStyle w:val="Rimandonotaapidipagina"/>
          <w:spacing w:val="3"/>
        </w:rPr>
        <w:footnoteReference w:id="74"/>
      </w:r>
      <w:r w:rsidRPr="00AE5E64">
        <w:rPr>
          <w:spacing w:val="3"/>
        </w:rPr>
        <w:t xml:space="preserve">. </w:t>
      </w:r>
    </w:p>
    <w:p w14:paraId="20EA91AE" w14:textId="77777777" w:rsidR="002C4301" w:rsidRPr="00AE5E64" w:rsidRDefault="002C4301" w:rsidP="002C4301">
      <w:pPr>
        <w:pStyle w:val="Capoverso"/>
        <w:rPr>
          <w:spacing w:val="2"/>
        </w:rPr>
      </w:pPr>
      <w:r w:rsidRPr="00AE5E64">
        <w:rPr>
          <w:spacing w:val="2"/>
        </w:rPr>
        <w:t>Più controversa è, invece, la questione riguardante la possibilità per il giudice nazionale di ultima istanza di compiere una valutazione circa la fondatezza della questione innanzi ad esso sollevata, anche al fine di evitare che le parti del giudizio interno insistano su domande di rinvio, in particolare ai fini dell’interpre</w:t>
      </w:r>
      <w:r w:rsidR="00F52656" w:rsidRPr="00AE5E64">
        <w:rPr>
          <w:spacing w:val="2"/>
        </w:rPr>
        <w:softHyphen/>
      </w:r>
      <w:r w:rsidRPr="00AE5E64">
        <w:rPr>
          <w:spacing w:val="2"/>
        </w:rPr>
        <w:t xml:space="preserve">tazione del diritto dell’Unione, aventi scopo meramente dilatorio. La questione fu affrontata dalla Corte nella sentenza </w:t>
      </w:r>
      <w:r w:rsidRPr="00AE5E64">
        <w:rPr>
          <w:i/>
          <w:spacing w:val="2"/>
        </w:rPr>
        <w:t>CILFIT</w:t>
      </w:r>
      <w:r w:rsidRPr="00AE5E64">
        <w:rPr>
          <w:spacing w:val="2"/>
        </w:rPr>
        <w:t xml:space="preserve"> del 6 ottobre 1982, nella quale i giudici di Lussemburgo, interrogati in proposito dalla Corte Suprema di Cassazione, affermarono che il giudice nazionale le cui decisioni non sono impugnabili può astenersi dal sottoporre una questione pregiudiziale alla Corte, allorquando la corretta applicazione del diritto comunitario si imponga «con tale evidenza da non lasciar adito ad alcun ragionevole dubbio»</w:t>
      </w:r>
      <w:r w:rsidRPr="00AE5E64">
        <w:rPr>
          <w:rStyle w:val="Rimandonotaapidipagina"/>
          <w:spacing w:val="2"/>
        </w:rPr>
        <w:t> </w:t>
      </w:r>
      <w:r w:rsidRPr="00AE5E64">
        <w:rPr>
          <w:rStyle w:val="Rimandonotaapidipagina"/>
          <w:spacing w:val="2"/>
        </w:rPr>
        <w:footnoteReference w:id="75"/>
      </w:r>
      <w:r w:rsidRPr="00AE5E64">
        <w:rPr>
          <w:spacing w:val="2"/>
        </w:rPr>
        <w:t>.</w:t>
      </w:r>
    </w:p>
    <w:p w14:paraId="2303A954" w14:textId="19E2CC17" w:rsidR="002C4301" w:rsidRPr="00067EB0" w:rsidRDefault="002C4301" w:rsidP="00BF4117">
      <w:pPr>
        <w:pStyle w:val="Capoverso"/>
      </w:pPr>
      <w:r w:rsidRPr="00067EB0">
        <w:t xml:space="preserve">Si tratta, in buona sostanza, della trasposizione nel sistema dell’art. 267 TFUE della c.d. “teoria dell’atto chiaro”, sovente applicata dai giudici amministrativi francesi, sprovvisti della competenza ad interpretare trattati internazionali, al fine di evitare il rinvio di questioni pregiudiziali in materia al Ministro degli affari esteri. Non si può non osservare che la giurisprudenza </w:t>
      </w:r>
      <w:r w:rsidRPr="00AE6D2D">
        <w:rPr>
          <w:i/>
        </w:rPr>
        <w:t>CILFIT</w:t>
      </w:r>
      <w:r w:rsidRPr="00067EB0">
        <w:t xml:space="preserve"> </w:t>
      </w:r>
      <w:r w:rsidRPr="00067EB0">
        <w:lastRenderedPageBreak/>
        <w:t>ha introdotto un elemento di alea nell’obbligatorietà del rinvio pregiudiziale, fornendo alle giurisdizioni nazionali di ultima istanza uno strumento che può essere impropriamente utilizzato per approntare soluzioni autarchiche a questioni di diritto dell’Unione niente affatto chiare.</w:t>
      </w:r>
      <w:r w:rsidR="00085143">
        <w:t xml:space="preserve"> Con la </w:t>
      </w:r>
      <w:r w:rsidRPr="00067EB0">
        <w:t xml:space="preserve">sentenza </w:t>
      </w:r>
      <w:r w:rsidRPr="00AE6D2D">
        <w:rPr>
          <w:i/>
        </w:rPr>
        <w:t>CILFIT</w:t>
      </w:r>
      <w:r w:rsidRPr="00067EB0">
        <w:t xml:space="preserve"> la Corte di giustizia </w:t>
      </w:r>
      <w:r w:rsidR="00085143">
        <w:t>ha di fatto</w:t>
      </w:r>
      <w:r w:rsidRPr="00067EB0">
        <w:t xml:space="preserve"> inteso rafforzare la collaborazione spontanea </w:t>
      </w:r>
      <w:r w:rsidR="00085143">
        <w:t>delle alte</w:t>
      </w:r>
      <w:r w:rsidRPr="00067EB0">
        <w:t xml:space="preserve"> giurisdizioni</w:t>
      </w:r>
      <w:r w:rsidR="00085143">
        <w:t xml:space="preserve"> nazionali,</w:t>
      </w:r>
      <w:r w:rsidRPr="00067EB0">
        <w:t xml:space="preserve"> consentendo loro di rispondere direttamente a questioni che non sollevano ragionevoli dubbi interpretativi. </w:t>
      </w:r>
      <w:r w:rsidR="00085143">
        <w:t xml:space="preserve"> </w:t>
      </w:r>
      <w:r w:rsidR="00BF4117">
        <w:t>Più in dettaglio,</w:t>
      </w:r>
      <w:r w:rsidR="00085143">
        <w:t xml:space="preserve"> </w:t>
      </w:r>
      <w:r w:rsidRPr="00067EB0">
        <w:t xml:space="preserve">nella sentenza </w:t>
      </w:r>
      <w:r w:rsidRPr="00AE6D2D">
        <w:rPr>
          <w:i/>
        </w:rPr>
        <w:t>CILFIT</w:t>
      </w:r>
      <w:r w:rsidRPr="00067EB0">
        <w:t xml:space="preserve">, </w:t>
      </w:r>
      <w:r w:rsidR="00085143">
        <w:t xml:space="preserve">la Corte </w:t>
      </w:r>
      <w:r w:rsidRPr="00067EB0">
        <w:t>da un lato legittimava il vaglio preventivo della fondatezza dei quesiti da parte di tali giurisdizioni e, dall’altro lato, cercava di circoscriverne la discrezionalità enunciando il principio in termini restrittivi (non deve sussistere «alcun ragionevole dubbio») e circondandolo con una serie di ulteriori salvaguardie. Affermava, infatti, che il giudice nazionale deve «maturare il convincimento che la stessa evidenza si imporrebbe anche ai giudici degli altri Stati membri ed alla Corte di giustizia» e ricordava alle giurisdizioni nazionali che l’interpretazione di una norma comunitaria comporta il raffronto delle sue differenti versioni linguistiche e la considerazione del suo contesto e del suo stadio di evoluzione</w:t>
      </w:r>
      <w:r w:rsidRPr="006E1027">
        <w:rPr>
          <w:rStyle w:val="Rimandonotaapidipagina"/>
        </w:rPr>
        <w:t> </w:t>
      </w:r>
      <w:r w:rsidRPr="006E1027">
        <w:rPr>
          <w:rStyle w:val="Rimandonotaapidipagina"/>
        </w:rPr>
        <w:footnoteReference w:id="76"/>
      </w:r>
      <w:r w:rsidRPr="00067EB0">
        <w:t>. È però evidente che queste indicazioni rischiano di rivelarsi difficili da applicare, se non addirittura illusorie: ciò vale in particolare per la richiesta al giudice nazionale di “vestire i panni” dei giudici supremi degli altri Stati membri per effettuare una valutazione il più possibile “obiettiva” della “chiarezza” dell’atto comunitario da applicare.</w:t>
      </w:r>
    </w:p>
    <w:p w14:paraId="5E83D341" w14:textId="77777777" w:rsidR="002C4301" w:rsidRPr="00067EB0" w:rsidRDefault="002C4301" w:rsidP="002C4301">
      <w:pPr>
        <w:pStyle w:val="Capoverso"/>
      </w:pPr>
      <w:r w:rsidRPr="00067EB0">
        <w:t>Come da tempo auspicato, di recente la Corte di giustizia ha</w:t>
      </w:r>
      <w:r w:rsidR="00BF4117">
        <w:t xml:space="preserve"> di recente</w:t>
      </w:r>
      <w:r w:rsidRPr="00067EB0">
        <w:t xml:space="preserve"> fornito degli utili chiarimenti sulle soluzioni esposte nella sentenza </w:t>
      </w:r>
      <w:r w:rsidRPr="00AE6D2D">
        <w:rPr>
          <w:i/>
          <w:caps/>
        </w:rPr>
        <w:t>Cilfit</w:t>
      </w:r>
      <w:r w:rsidRPr="00067EB0">
        <w:t>, ed in particolare sulle condizioni che giustificano la scelta di astenersi dal sottoporre alla Corte una questione di interpretazione del diritto dell’Unione, non richiedendo al giudice di ultima istanza di procedere necessariamente ad un esame comparativo delle versioni linguistiche, bensì di “tener conto delle divergenze tra le versioni linguistiche … quando tali divergenze sono esposte dalle parti e sono comprovate”</w:t>
      </w:r>
      <w:r w:rsidRPr="006E1027">
        <w:rPr>
          <w:rStyle w:val="Rimandonotaapidipagina"/>
        </w:rPr>
        <w:t> </w:t>
      </w:r>
      <w:r w:rsidRPr="006E1027">
        <w:rPr>
          <w:rStyle w:val="Rimandonotaapidipagina"/>
        </w:rPr>
        <w:footnoteReference w:id="77"/>
      </w:r>
      <w:r w:rsidRPr="00067EB0">
        <w:t>. Al tempo stesso, la Corte di giustizia ha messo in chiara evidenza l’esigenza di un obbligo di motivazione più preciso e puntuale da parte del giudice nazionale di ultima di istanza che decida, sotto la propria responsabilità, di non rivolgersi alla Corte di giustizia.</w:t>
      </w:r>
    </w:p>
    <w:p w14:paraId="024C595B" w14:textId="4A42BA0A" w:rsidR="002C4301" w:rsidRPr="00AE5E64" w:rsidRDefault="002C4301" w:rsidP="002C4301">
      <w:pPr>
        <w:pStyle w:val="Capoverso"/>
        <w:rPr>
          <w:spacing w:val="1"/>
        </w:rPr>
      </w:pPr>
      <w:r w:rsidRPr="00AE5E64">
        <w:rPr>
          <w:spacing w:val="1"/>
        </w:rPr>
        <w:t xml:space="preserve">Successivamente la Corte ha fatto un ulteriore passo in avanti, in quanto ha affermato che il giudice nazionale di ultima istanza “non è tenuto a dimostrare in maniera circostanziata che gli altri giudici di ultima istanza degli Stati membri e la Corte adotterebbero la medesima interpretazione, ma deve aver maturato la convinzione, sulla base di una valutazione che tenga </w:t>
      </w:r>
      <w:r w:rsidRPr="00AE5E64">
        <w:rPr>
          <w:spacing w:val="1"/>
        </w:rPr>
        <w:lastRenderedPageBreak/>
        <w:t>conto dei citati elementi, che la stessa evidenza si imponga anche agli altri giudici nazionali in parola e alla Corte”</w:t>
      </w:r>
      <w:r w:rsidRPr="00AE5E64">
        <w:rPr>
          <w:rStyle w:val="Rimandonotaapidipagina"/>
          <w:spacing w:val="1"/>
        </w:rPr>
        <w:t> </w:t>
      </w:r>
      <w:r w:rsidRPr="00AE5E64">
        <w:rPr>
          <w:rStyle w:val="Rimandonotaapidipagina"/>
          <w:spacing w:val="1"/>
        </w:rPr>
        <w:footnoteReference w:id="78"/>
      </w:r>
      <w:r w:rsidRPr="00AE5E64">
        <w:rPr>
          <w:spacing w:val="1"/>
        </w:rPr>
        <w:t>. Si può, pertanto, ritenere che i giudici nazionali di ultima istanza</w:t>
      </w:r>
      <w:r w:rsidR="00BF4117" w:rsidRPr="00AE5E64">
        <w:rPr>
          <w:spacing w:val="1"/>
        </w:rPr>
        <w:t>, al fine di escludere ogni ragionevole dubbio interpretativo,</w:t>
      </w:r>
      <w:r w:rsidRPr="00AE5E64">
        <w:rPr>
          <w:spacing w:val="1"/>
        </w:rPr>
        <w:t xml:space="preserve"> non siano obbligati a procedere sistematicamente ad un’analisi comparativa della giurisprudenza degli </w:t>
      </w:r>
      <w:r w:rsidR="00BF4117" w:rsidRPr="00AE5E64">
        <w:rPr>
          <w:spacing w:val="1"/>
        </w:rPr>
        <w:t xml:space="preserve">altri </w:t>
      </w:r>
      <w:r w:rsidRPr="00AE5E64">
        <w:rPr>
          <w:spacing w:val="1"/>
        </w:rPr>
        <w:t xml:space="preserve">Stati membri, a meno che le sentenze nazionali </w:t>
      </w:r>
      <w:r w:rsidR="00BF4117" w:rsidRPr="00AE5E64">
        <w:rPr>
          <w:spacing w:val="1"/>
        </w:rPr>
        <w:t xml:space="preserve">che dimostrano divergenze di opinioni </w:t>
      </w:r>
      <w:r w:rsidRPr="00AE5E64">
        <w:rPr>
          <w:spacing w:val="1"/>
        </w:rPr>
        <w:t>siano “esposte dalle parti e comprovate” e possano dare origine al</w:t>
      </w:r>
      <w:r w:rsidR="000D3AEA" w:rsidRPr="00AE5E64">
        <w:rPr>
          <w:spacing w:val="1"/>
        </w:rPr>
        <w:softHyphen/>
      </w:r>
      <w:r w:rsidRPr="00AE5E64">
        <w:rPr>
          <w:spacing w:val="1"/>
        </w:rPr>
        <w:t>l’esistenza di un dubbio ragionevole sull’interpretazione della norma dell’Unione.</w:t>
      </w:r>
    </w:p>
    <w:p w14:paraId="460CAB62" w14:textId="77777777" w:rsidR="002C4301" w:rsidRPr="00067EB0" w:rsidRDefault="002C4301" w:rsidP="002C4301">
      <w:pPr>
        <w:pStyle w:val="Capoverso"/>
      </w:pPr>
      <w:r w:rsidRPr="00067EB0">
        <w:t xml:space="preserve">Nel loro complesso, questi recenti chiarimenti della Corte di giustizia rivestono una importanza fondamentale, poiché paralizzano i vari tentativi di modificare radicalmente la giurisprudenza </w:t>
      </w:r>
      <w:r w:rsidRPr="00AE6D2D">
        <w:rPr>
          <w:i/>
          <w:iCs/>
          <w:caps/>
        </w:rPr>
        <w:t>Cilfit</w:t>
      </w:r>
      <w:r w:rsidRPr="00067EB0">
        <w:rPr>
          <w:caps/>
        </w:rPr>
        <w:t xml:space="preserve"> </w:t>
      </w:r>
      <w:r w:rsidRPr="00067EB0">
        <w:t>in merito all’obbligo di rinvio pregiudiziale</w:t>
      </w:r>
      <w:r w:rsidRPr="006E1027">
        <w:rPr>
          <w:rStyle w:val="Rimandonotaapidipagina"/>
        </w:rPr>
        <w:t> </w:t>
      </w:r>
      <w:r w:rsidRPr="006E1027">
        <w:rPr>
          <w:rStyle w:val="Rimandonotaapidipagina"/>
        </w:rPr>
        <w:footnoteReference w:id="79"/>
      </w:r>
      <w:r w:rsidRPr="00067EB0">
        <w:t>, preservando così le caratteristiche del principale strumento di tutela giurisdizionale e di dialogo tra i giudici dell’Unione e quelli nazionali.</w:t>
      </w:r>
    </w:p>
    <w:p w14:paraId="6F17B8B3" w14:textId="77777777" w:rsidR="002C4301" w:rsidRPr="00AE6D2D" w:rsidRDefault="002C4301" w:rsidP="002C4301">
      <w:pPr>
        <w:pStyle w:val="Sottoparagrafo"/>
        <w:rPr>
          <w:iCs w:val="0"/>
        </w:rPr>
      </w:pPr>
      <w:r w:rsidRPr="002F2A96">
        <w:rPr>
          <w:i w:val="0"/>
          <w:iCs w:val="0"/>
        </w:rPr>
        <w:t>4.2.</w:t>
      </w:r>
      <w:r w:rsidRPr="002F2A96">
        <w:t xml:space="preserve"> </w:t>
      </w:r>
      <w:r w:rsidRPr="00AE6D2D">
        <w:t>Facoltà di rinvio e pregiudiziale di validità</w:t>
      </w:r>
    </w:p>
    <w:p w14:paraId="7C15A3A9" w14:textId="77777777" w:rsidR="002C4301" w:rsidRPr="00067EB0" w:rsidRDefault="002C4301" w:rsidP="002C4301">
      <w:pPr>
        <w:pStyle w:val="Capoverso"/>
      </w:pPr>
      <w:r w:rsidRPr="00067EB0">
        <w:t>Se da un lato la Corte ha introdotto, come visto, in via giurisprudenziale dei temperamenti all’obbligo di rinvio in capo ai giudici di ultima istanza, dall’altro lato essa ha affermato</w:t>
      </w:r>
      <w:r w:rsidR="00E623B3">
        <w:t xml:space="preserve">, nella sentenza </w:t>
      </w:r>
      <w:r w:rsidR="00E623B3" w:rsidRPr="007B7251">
        <w:rPr>
          <w:i/>
          <w:iCs/>
        </w:rPr>
        <w:t>Foto-Frost</w:t>
      </w:r>
      <w:r w:rsidR="00E623B3">
        <w:t>,</w:t>
      </w:r>
      <w:r w:rsidRPr="00067EB0">
        <w:t xml:space="preserve"> la sussistenza di tale obbligo anche in capo alle giurisdizioni le cui decisioni sono impugnabili, nel caso in cui queste ritengano che un atto dell’Unione non sia valido</w:t>
      </w:r>
      <w:r w:rsidRPr="006E1027">
        <w:rPr>
          <w:rStyle w:val="Rimandonotaapidipagina"/>
        </w:rPr>
        <w:t> </w:t>
      </w:r>
      <w:r w:rsidRPr="006E1027">
        <w:rPr>
          <w:rStyle w:val="Rimandonotaapidipagina"/>
        </w:rPr>
        <w:footnoteReference w:id="80"/>
      </w:r>
      <w:r w:rsidRPr="00067EB0">
        <w:t>.</w:t>
      </w:r>
    </w:p>
    <w:p w14:paraId="65347551" w14:textId="77777777" w:rsidR="002C4301" w:rsidRPr="00067EB0" w:rsidRDefault="002C4301" w:rsidP="002C4301">
      <w:pPr>
        <w:pStyle w:val="Capoverso"/>
      </w:pPr>
      <w:r w:rsidRPr="00067EB0">
        <w:t>Per comprendere la portata del principio ora enunciato occorre fare un passo indietro, rammentando che l’art. 267, terzo comma, TFUE, nel disporre che il rinvio pregiudiziale è obbligatorio per le giurisdizioni di ultima istanza, non opera alcuna distinzione tra rinvio di interpretazione e rinvio di validità. Parrebbe, dunque, in linea di principio, che i giudici avverso le cui decisioni possa proporsi ricorso giurisdizionale siano competenti non soltanto ad interpretare autonomamente le disposizioni dell’Unione in rilievo nei giudizi innanzi ad essi pendenti, ma anche ad apprezzarne la legittimità, dichiarandole eventualmente invalide.</w:t>
      </w:r>
    </w:p>
    <w:p w14:paraId="2885860F" w14:textId="77777777" w:rsidR="002C4301" w:rsidRPr="00067EB0" w:rsidRDefault="002C4301" w:rsidP="002C4301">
      <w:pPr>
        <w:pStyle w:val="Capoverso"/>
      </w:pPr>
      <w:r w:rsidRPr="00067EB0">
        <w:t>Così, proprio sulla base del dato letterale dell’art. 267 (in origine art. 177 CEE), nei primi anni di vigenza del trattato alcune giurisdizioni nazionali non di ultima istanza si sono ritenute competenti a vagliare la legittimità di nor</w:t>
      </w:r>
      <w:r w:rsidRPr="00067EB0">
        <w:lastRenderedPageBreak/>
        <w:t>me comunitarie, disapplicandole quando ritenute invalide</w:t>
      </w:r>
      <w:r w:rsidRPr="006E1027">
        <w:rPr>
          <w:rStyle w:val="Rimandonotaapidipagina"/>
        </w:rPr>
        <w:t> </w:t>
      </w:r>
      <w:r w:rsidRPr="006E1027">
        <w:rPr>
          <w:rStyle w:val="Rimandonotaapidipagina"/>
        </w:rPr>
        <w:footnoteReference w:id="81"/>
      </w:r>
      <w:r w:rsidRPr="00067EB0">
        <w:t>.</w:t>
      </w:r>
    </w:p>
    <w:p w14:paraId="2574BAED" w14:textId="020401B0" w:rsidR="002C4301" w:rsidRPr="000D3AEA" w:rsidRDefault="002C4301" w:rsidP="002C4301">
      <w:pPr>
        <w:pStyle w:val="Capoverso"/>
        <w:rPr>
          <w:spacing w:val="-2"/>
        </w:rPr>
      </w:pPr>
      <w:r w:rsidRPr="000D3AEA">
        <w:rPr>
          <w:spacing w:val="-2"/>
        </w:rPr>
        <w:t xml:space="preserve">La questione, tuttavia, non fu mai affrontata </w:t>
      </w:r>
      <w:r w:rsidRPr="000D3AEA">
        <w:rPr>
          <w:i/>
          <w:spacing w:val="-2"/>
        </w:rPr>
        <w:t>ex professo</w:t>
      </w:r>
      <w:r w:rsidRPr="000D3AEA">
        <w:rPr>
          <w:spacing w:val="-2"/>
        </w:rPr>
        <w:t xml:space="preserve"> dalla Corte sino al</w:t>
      </w:r>
      <w:r w:rsidR="00F52656" w:rsidRPr="000D3AEA">
        <w:rPr>
          <w:spacing w:val="-2"/>
        </w:rPr>
        <w:softHyphen/>
      </w:r>
      <w:r w:rsidRPr="000D3AEA">
        <w:rPr>
          <w:spacing w:val="-2"/>
        </w:rPr>
        <w:t xml:space="preserve">l’introduzione della causa </w:t>
      </w:r>
      <w:r w:rsidRPr="000D3AEA">
        <w:rPr>
          <w:i/>
          <w:spacing w:val="-2"/>
        </w:rPr>
        <w:t>Foto-Frost</w:t>
      </w:r>
      <w:r w:rsidRPr="000D3AEA">
        <w:rPr>
          <w:spacing w:val="-2"/>
        </w:rPr>
        <w:t>, originante da un rinvio pregiudiziale di un giudice tedesco che domandava alla Corte se il giudice nazionale potesse sindacare la validità di una decisione adottata dalla Commissione. Nella sua sentenza del</w:t>
      </w:r>
      <w:r w:rsidR="000D3AEA">
        <w:rPr>
          <w:spacing w:val="-2"/>
        </w:rPr>
        <w:softHyphen/>
      </w:r>
      <w:r w:rsidRPr="000D3AEA">
        <w:rPr>
          <w:spacing w:val="-2"/>
        </w:rPr>
        <w:t>l’ottobre 1987</w:t>
      </w:r>
      <w:r w:rsidRPr="000D3AEA">
        <w:rPr>
          <w:rStyle w:val="Rimandonotaapidipagina"/>
          <w:spacing w:val="-2"/>
        </w:rPr>
        <w:t> </w:t>
      </w:r>
      <w:r w:rsidRPr="000D3AEA">
        <w:rPr>
          <w:rStyle w:val="Rimandonotaapidipagina"/>
          <w:spacing w:val="-2"/>
        </w:rPr>
        <w:footnoteReference w:id="82"/>
      </w:r>
      <w:r w:rsidRPr="000D3AEA">
        <w:rPr>
          <w:spacing w:val="-2"/>
        </w:rPr>
        <w:t>, la Corte ha affermato che le giurisdizioni nazionali «possono esaminare la validità di un atto comunitario e, se ritengono infondati i motivi d’in</w:t>
      </w:r>
      <w:r w:rsidR="00AE5E64">
        <w:rPr>
          <w:spacing w:val="-2"/>
        </w:rPr>
        <w:softHyphen/>
      </w:r>
      <w:r w:rsidRPr="000D3AEA">
        <w:rPr>
          <w:spacing w:val="-2"/>
        </w:rPr>
        <w:t>validità addotti dalle parti, respingerli concludendo per la piena validità del</w:t>
      </w:r>
      <w:r w:rsidR="00F52656" w:rsidRPr="000D3AEA">
        <w:rPr>
          <w:spacing w:val="-2"/>
        </w:rPr>
        <w:softHyphen/>
      </w:r>
      <w:r w:rsidRPr="000D3AEA">
        <w:rPr>
          <w:spacing w:val="-2"/>
        </w:rPr>
        <w:t>l’atto». Viceversa, essi «non hanno il potere di dichiarare invalidi gli atti delle istituzioni comunitarie». Ne consegue che, ove nutrano dubbi sulla validità di un atto del</w:t>
      </w:r>
      <w:r w:rsidR="00AE5E64">
        <w:rPr>
          <w:spacing w:val="-2"/>
        </w:rPr>
        <w:softHyphen/>
      </w:r>
      <w:r w:rsidRPr="000D3AEA">
        <w:rPr>
          <w:spacing w:val="-2"/>
        </w:rPr>
        <w:t>l’Unione, dovranno necessariamente sollevare una questione pregiudiziale.</w:t>
      </w:r>
    </w:p>
    <w:p w14:paraId="0A33E8E6" w14:textId="6DC51293" w:rsidR="002C4301" w:rsidRPr="00067EB0" w:rsidRDefault="002C4301" w:rsidP="002C4301">
      <w:pPr>
        <w:pStyle w:val="Capoverso"/>
      </w:pPr>
      <w:r w:rsidRPr="00067EB0">
        <w:t xml:space="preserve">La Corte fonda la propria decisione, probabilmente ispirata dal sistema allora in vigore nel </w:t>
      </w:r>
      <w:r w:rsidR="00462C45">
        <w:t>Tr.</w:t>
      </w:r>
      <w:r w:rsidR="00462C45" w:rsidRPr="00067EB0">
        <w:t xml:space="preserve"> </w:t>
      </w:r>
      <w:r w:rsidRPr="00067EB0">
        <w:t>CECA</w:t>
      </w:r>
      <w:r w:rsidRPr="006E1027">
        <w:rPr>
          <w:rStyle w:val="Rimandonotaapidipagina"/>
        </w:rPr>
        <w:t> </w:t>
      </w:r>
      <w:r w:rsidRPr="006E1027">
        <w:rPr>
          <w:rStyle w:val="Rimandonotaapidipagina"/>
        </w:rPr>
        <w:footnoteReference w:id="83"/>
      </w:r>
      <w:r w:rsidRPr="00067EB0">
        <w:t>, essenzialmente su due argomenti. In primo luogo, ritiene che la presenza di divergenze di opinioni tra i giudici degli Stati membri sulla validità degli atti comunitari potrebbe compromettere la coesione giuridica dell’Unione e la certezza del diritto che sono alla base del sistema del</w:t>
      </w:r>
      <w:r w:rsidR="00F52656">
        <w:softHyphen/>
      </w:r>
      <w:r w:rsidRPr="00067EB0">
        <w:t xml:space="preserve">l’art. 267. In secondo luogo, come si ricaverebbe dall’art. 263 TFUE, il sistema dei ricorsi si fonda sulla competenza esclusiva della Corte in materia di annullamento degli atti delle istituzioni. Pertanto, consentire al giudice nazionale di pronunziarsi sulla validità di tali atti </w:t>
      </w:r>
      <w:r w:rsidR="00E623B3">
        <w:t>costituirebbe una deviazione da questo modello</w:t>
      </w:r>
      <w:r w:rsidRPr="00067EB0">
        <w:t>. Inoltre, la Corte ha sottolineato che è il giudice dell’Unione l’organo più indicato a pronunciarsi sulla validità degli atti dell’Unione. Infatti, le istituzioni dell’Unione che hanno emanato gli atti contestati hanno il diritto, a norma dell’art. 23 Statuto, di intervenire dinanzi alla Corte per difendere la validità di tali atti ed inoltre la Corte può richiedere alle istituzioni dell’Unione, che non sono parti in causa, tutte le informazioni che ritenga necessarie ai fini del processo.</w:t>
      </w:r>
    </w:p>
    <w:p w14:paraId="047A6805" w14:textId="77777777" w:rsidR="002C4301" w:rsidRPr="00067EB0" w:rsidRDefault="002C4301" w:rsidP="002C4301">
      <w:pPr>
        <w:pStyle w:val="Capoverso"/>
      </w:pPr>
      <w:r w:rsidRPr="00067EB0">
        <w:t xml:space="preserve">Nella sentenza </w:t>
      </w:r>
      <w:r w:rsidRPr="00AE6D2D">
        <w:rPr>
          <w:i/>
        </w:rPr>
        <w:t>Foto-Frost</w:t>
      </w:r>
      <w:r w:rsidRPr="00067EB0">
        <w:t xml:space="preserve"> si fa salva un’unica eccezione: il caso in cui il problema di validità si ponga in un procedimento sommario. In questa ipotesi l’esi</w:t>
      </w:r>
      <w:r w:rsidR="00F52656">
        <w:softHyphen/>
      </w:r>
      <w:r w:rsidRPr="00067EB0">
        <w:t>genza di speditezza della tutela cautelare comporta che il giudice interno conosca direttamente della validità dell’atto dell’Unione in rilievo. Resta fermo, ovviamente, l’obbligo di proporre rinvio da parte del giudice dell’eventuale successivo giudizio di merito.</w:t>
      </w:r>
    </w:p>
    <w:p w14:paraId="696EF83A" w14:textId="77777777" w:rsidR="002C4301" w:rsidRPr="00AE6D2D" w:rsidRDefault="002C4301" w:rsidP="002C4301">
      <w:pPr>
        <w:pStyle w:val="Sottoparagrafo"/>
        <w:rPr>
          <w:iCs w:val="0"/>
        </w:rPr>
      </w:pPr>
      <w:r w:rsidRPr="002F2A96">
        <w:rPr>
          <w:i w:val="0"/>
          <w:iCs w:val="0"/>
        </w:rPr>
        <w:lastRenderedPageBreak/>
        <w:t xml:space="preserve">4.3. </w:t>
      </w:r>
      <w:r w:rsidRPr="00AE6D2D">
        <w:t>Violazione dell’obbligo di rinvio</w:t>
      </w:r>
    </w:p>
    <w:p w14:paraId="6135ACF3" w14:textId="77777777" w:rsidR="002C4301" w:rsidRPr="00067EB0" w:rsidRDefault="002C4301" w:rsidP="002C4301">
      <w:pPr>
        <w:pStyle w:val="Capoverso"/>
      </w:pPr>
      <w:r w:rsidRPr="00067EB0">
        <w:t>Non resta, a questo punto, che chiedersi quali siano le conseguenze determinate dalla violazione dell’obbligo di sollevare rinvio pregiudiziale</w:t>
      </w:r>
      <w:r w:rsidR="003F787B">
        <w:t>, imposto dal Trattato sulle giurisdizioni di ultima istanza</w:t>
      </w:r>
      <w:r w:rsidRPr="00067EB0">
        <w:t>. Va distinto, in proposito, tra i rimedi messi a disposizione dall’ordinamento nazionale e quelli propri del sistema comunitario.</w:t>
      </w:r>
    </w:p>
    <w:p w14:paraId="6338C4FC" w14:textId="0160D0CD" w:rsidR="002C4301" w:rsidRPr="00067EB0" w:rsidRDefault="002C4301" w:rsidP="002C4301">
      <w:pPr>
        <w:pStyle w:val="Capoverso"/>
      </w:pPr>
      <w:r w:rsidRPr="00067EB0">
        <w:t>Quanto ai rimedi “interni”, la regola è quella del rinvio al diritto nazionale: spetta allo Stato membro indicare i giudici competenti a conoscere di eventuali azioni proposte avverso provvedimenti dei giudici di ultima istanza che abbiano – espressamente o meno – deciso la controversia senza rispettare l’obbligo di rivolgersi alla Corte di giustizia ai sensi dell’art. 267, terzo comma, TFUE. In proposito, si registrano soluzioni differenti: se in alcuni Paesi membri i privati possono far uso di rimedi giurisdizionali posti a tutela del diritto fondamentale ad una tutela giurisdizionale effettiva (è il caso, sia pure in casi limitati ed eccezionali, della giurisprudenza spagnola</w:t>
      </w:r>
      <w:r w:rsidRPr="006E1027">
        <w:rPr>
          <w:rStyle w:val="Rimandonotaapidipagina"/>
        </w:rPr>
        <w:t> </w:t>
      </w:r>
      <w:r w:rsidRPr="006E1027">
        <w:rPr>
          <w:rStyle w:val="Rimandonotaapidipagina"/>
        </w:rPr>
        <w:footnoteReference w:id="84"/>
      </w:r>
      <w:r w:rsidRPr="00067EB0">
        <w:t>, ovvero del diritto di accedere al giudice naturale precostituito per legge (è il caso del sistema tedesco</w:t>
      </w:r>
      <w:r w:rsidRPr="006E1027">
        <w:rPr>
          <w:rStyle w:val="Rimandonotaapidipagina"/>
        </w:rPr>
        <w:t> </w:t>
      </w:r>
      <w:r w:rsidRPr="006E1027">
        <w:rPr>
          <w:rStyle w:val="Rimandonotaapidipagina"/>
        </w:rPr>
        <w:footnoteReference w:id="85"/>
      </w:r>
      <w:r w:rsidRPr="00A91232">
        <w:t>)</w:t>
      </w:r>
      <w:r w:rsidRPr="00067EB0">
        <w:t>, in altri Paesi, tra cui l’Italia, non si rinviene alcun rimedio del genere. In particolare, in relazione all’esperibilità del ricorso per cassazione per motivi inerenti alla giurisdizione, la Corte di giustizia ha chiarito che gli artt. 4, par. 3, TUE, 19, par. 1, secondo comma, TUE e 267 TFUE non impongono agli Stati membri di istituire mezzi di ricorso straordinari al fine di assicurare il rispetto dell’obbligo di rinvio pregiudiziale, trovando applicazione il principio dell’autonomia procedurale</w:t>
      </w:r>
      <w:r w:rsidRPr="006E1027">
        <w:rPr>
          <w:rStyle w:val="Rimandonotaapidipagina"/>
        </w:rPr>
        <w:t> </w:t>
      </w:r>
      <w:r w:rsidRPr="006E1027">
        <w:rPr>
          <w:rStyle w:val="Rimandonotaapidipagina"/>
        </w:rPr>
        <w:footnoteReference w:id="86"/>
      </w:r>
      <w:r w:rsidRPr="00067EB0">
        <w:t xml:space="preserve">. Allo stesso modo, </w:t>
      </w:r>
      <w:r w:rsidR="00582B6E">
        <w:t>nel</w:t>
      </w:r>
      <w:r w:rsidRPr="00067EB0">
        <w:t xml:space="preserve">la sentenza </w:t>
      </w:r>
      <w:r w:rsidRPr="00AE6D2D">
        <w:rPr>
          <w:i/>
          <w:iCs/>
        </w:rPr>
        <w:t>Hoffmann-La Roche</w:t>
      </w:r>
      <w:r w:rsidRPr="00067EB0">
        <w:t xml:space="preserve"> </w:t>
      </w:r>
      <w:r w:rsidR="00582B6E">
        <w:t xml:space="preserve">la Corte </w:t>
      </w:r>
      <w:r w:rsidRPr="00067EB0">
        <w:t>ha escluso l’esi</w:t>
      </w:r>
      <w:r w:rsidR="00AE5E64">
        <w:softHyphen/>
      </w:r>
      <w:r w:rsidRPr="00067EB0">
        <w:t>stenza di frizioni tra il diritto dell’Unione e le disposizioni nazionali che non consentono al singolo di contestare, per mezzo della revocazione, una sentenza di un giudice di ultima istanza che non abbia tenuto conto dell’interpretazione fornita dalla Corte di giustizia in risposta alla sua domanda pregiudiziale</w:t>
      </w:r>
      <w:r w:rsidRPr="006E1027">
        <w:rPr>
          <w:rStyle w:val="Rimandonotaapidipagina"/>
        </w:rPr>
        <w:t> </w:t>
      </w:r>
      <w:r w:rsidRPr="006E1027">
        <w:rPr>
          <w:rStyle w:val="Rimandonotaapidipagina"/>
        </w:rPr>
        <w:footnoteReference w:id="87"/>
      </w:r>
      <w:r w:rsidRPr="00067EB0">
        <w:t>.</w:t>
      </w:r>
    </w:p>
    <w:p w14:paraId="13E9E82B" w14:textId="77777777" w:rsidR="002C4301" w:rsidRPr="00067EB0" w:rsidRDefault="002C4301" w:rsidP="002C4301">
      <w:pPr>
        <w:pStyle w:val="Capoverso"/>
      </w:pPr>
      <w:r w:rsidRPr="00067EB0">
        <w:t xml:space="preserve">Quanto ai rimedi propri del sistema dell’Unione, segnalato il suggerimento, avanzato in dottrina, di ritenere le sentenze adottate in violazione dell’obbligo di rinvio come decisioni contrastanti con l’ordine pubblico e quindi non riconoscibili in altri Paesi membri ai sensi delle pertinenti disposizioni del regolamento CE n. 44/2001, in linea teorica la violazione dell’art. 267 TFUE, terzo comma, al pari di ogni altra violazione di norme del trattato </w:t>
      </w:r>
      <w:r w:rsidRPr="00067EB0">
        <w:lastRenderedPageBreak/>
        <w:t xml:space="preserve">è sanzionabile attraverso la procedura d’infrazione </w:t>
      </w:r>
      <w:r w:rsidRPr="00AE6D2D">
        <w:rPr>
          <w:i/>
        </w:rPr>
        <w:t>ex</w:t>
      </w:r>
      <w:r w:rsidRPr="00067EB0">
        <w:t xml:space="preserve"> artt. 258 e 259 TFUE.</w:t>
      </w:r>
    </w:p>
    <w:p w14:paraId="0F7C6D53" w14:textId="28DDAAD7" w:rsidR="002C4301" w:rsidRPr="00067EB0" w:rsidRDefault="002C4301" w:rsidP="002C4301">
      <w:pPr>
        <w:pStyle w:val="Capoverso"/>
      </w:pPr>
      <w:r w:rsidRPr="00067EB0">
        <w:t xml:space="preserve">L’apparato giurisdizionale fa, infatti, parte dei pubblici poteri dei cui comportamenti risponde lo Stato membro. </w:t>
      </w:r>
      <w:r w:rsidR="00582B6E">
        <w:t>L</w:t>
      </w:r>
      <w:r w:rsidRPr="00067EB0">
        <w:t>a procedura di cui all’art. 258 TFUE è applicabile al caso della giurisdizione di ultima istanza che viene meno all’obbli</w:t>
      </w:r>
      <w:r w:rsidR="00AE5E64">
        <w:softHyphen/>
      </w:r>
      <w:r w:rsidRPr="00067EB0">
        <w:t>go di rinvio nel caso di abuso della “teoria dell’atto chiaro”</w:t>
      </w:r>
      <w:r w:rsidRPr="006E1027">
        <w:rPr>
          <w:rStyle w:val="Rimandonotaapidipagina"/>
        </w:rPr>
        <w:t> </w:t>
      </w:r>
      <w:r w:rsidRPr="006E1027">
        <w:rPr>
          <w:rStyle w:val="Rimandonotaapidipagina"/>
        </w:rPr>
        <w:footnoteReference w:id="88"/>
      </w:r>
      <w:r w:rsidRPr="00067EB0">
        <w:t xml:space="preserve">. </w:t>
      </w:r>
      <w:r w:rsidR="00582B6E">
        <w:t>Ne</w:t>
      </w:r>
      <w:r w:rsidRPr="00067EB0">
        <w:t xml:space="preserve">lla sentenza </w:t>
      </w:r>
      <w:r w:rsidRPr="00AE6D2D">
        <w:rPr>
          <w:i/>
        </w:rPr>
        <w:t>Commissione c. Italia</w:t>
      </w:r>
      <w:r w:rsidRPr="00067EB0">
        <w:t xml:space="preserve"> del dicembre 2003</w:t>
      </w:r>
      <w:r w:rsidR="00582B6E" w:rsidRPr="00582B6E">
        <w:rPr>
          <w:vertAlign w:val="superscript"/>
        </w:rPr>
        <w:footnoteReference w:id="89"/>
      </w:r>
      <w:r w:rsidRPr="00067EB0">
        <w:t>, avente ad oggetto una norma italiana di per sé neutra rispetto al trattato, ma interpretata dai giudici interni, tra cui la Corte Suprema di Cassazione, in modo contrastante con il diritto comunitario, la Corte di giustizia</w:t>
      </w:r>
      <w:r w:rsidR="00582B6E">
        <w:t xml:space="preserve"> ha</w:t>
      </w:r>
      <w:r w:rsidR="00DA53AB">
        <w:t>,</w:t>
      </w:r>
      <w:r w:rsidRPr="00067EB0">
        <w:t xml:space="preserve"> </w:t>
      </w:r>
      <w:r w:rsidR="00582B6E">
        <w:t>p</w:t>
      </w:r>
      <w:r w:rsidRPr="00067EB0">
        <w:t>er la prima volta, la Corte amme</w:t>
      </w:r>
      <w:r w:rsidR="00DA53AB">
        <w:t>sso</w:t>
      </w:r>
      <w:r w:rsidRPr="00067EB0">
        <w:t xml:space="preserve"> la possibilità di esperire un ricorso per infrazione nei confronti di uno Stato membro per sanzionare la violazione del diritto del</w:t>
      </w:r>
      <w:r w:rsidR="00F52656">
        <w:softHyphen/>
      </w:r>
      <w:r w:rsidRPr="00067EB0">
        <w:t>l’Unione effettuata dall’apparato giurisdizionale interno. Tuttavia, la Corte richiedeva un inadempimento strutturale per l’accertamento di un’infrazione, ossia un orientamento giurisprudenziale che sistematicamente omettesse di utilizzare il rinvio pregiudiziale, ritenendo invece la procedura d’infrazione difficilmente proponibile nelle ipotesi di «pronunce giurisdizionali isolate o fortemente minoritarie in un contesto giurisprudenziale caratterizzato da un diverso orientamento, o ancora un’interpretazione smentita dal supremo giudice nazionale»</w:t>
      </w:r>
      <w:r w:rsidRPr="006E1027">
        <w:rPr>
          <w:rStyle w:val="Rimandonotaapidipagina"/>
        </w:rPr>
        <w:t> </w:t>
      </w:r>
      <w:r w:rsidRPr="006E1027">
        <w:rPr>
          <w:rStyle w:val="Rimandonotaapidipagina"/>
        </w:rPr>
        <w:footnoteReference w:id="90"/>
      </w:r>
      <w:r w:rsidRPr="00067EB0">
        <w:t>. Successivamente, la Corte di giustizia ha rivisto questo orientamento restrittivo, poiché ha riconosciuto che può condurre al</w:t>
      </w:r>
      <w:r w:rsidR="00AE5E64">
        <w:softHyphen/>
      </w:r>
      <w:r w:rsidRPr="00067EB0">
        <w:t>l’accertamento dell’ina</w:t>
      </w:r>
      <w:r w:rsidR="00F52656">
        <w:softHyphen/>
      </w:r>
      <w:r w:rsidRPr="00067EB0">
        <w:t>dempimento dello Stato anche una sola sentenza definitiva in evidente contrasto con il diritto dell’Unione, che sia pronunciata da un giudice di ultima istanza senza rivolgersi alla Corte in presenza di un ragionevole dubbio</w:t>
      </w:r>
      <w:r w:rsidRPr="006E1027">
        <w:rPr>
          <w:rStyle w:val="Rimandonotaapidipagina"/>
        </w:rPr>
        <w:t> </w:t>
      </w:r>
      <w:r w:rsidRPr="006E1027">
        <w:rPr>
          <w:rStyle w:val="Rimandonotaapidipagina"/>
        </w:rPr>
        <w:footnoteReference w:id="91"/>
      </w:r>
      <w:r w:rsidRPr="00067EB0">
        <w:t>.</w:t>
      </w:r>
    </w:p>
    <w:p w14:paraId="337AC95E" w14:textId="77777777" w:rsidR="002C4301" w:rsidRPr="00067EB0" w:rsidRDefault="002C4301" w:rsidP="002C4301">
      <w:pPr>
        <w:pStyle w:val="Capoverso"/>
      </w:pPr>
      <w:r w:rsidRPr="00067EB0">
        <w:t xml:space="preserve">Nondimeno, una simile violazione può avere conseguenze pregiudizievoli per i singoli che rivestono il ruolo di parti di fronte ai giudizi interni. In proposito, appare opportuno chiedersi se l’eventuale pregiudizio così subito sia risarcibile in virtù della giurisprudenza </w:t>
      </w:r>
      <w:r w:rsidRPr="00AE6D2D">
        <w:rPr>
          <w:i/>
        </w:rPr>
        <w:t>Francovich</w:t>
      </w:r>
      <w:r w:rsidRPr="00067EB0">
        <w:t xml:space="preserve">, in base alla quale il privato che subisce un danno ingiusto a causa della violazione del diritto comunitario da parte di uno Stato membro può domandare ed ottenere il risarcimento di tale danno al giudice interno. Una risposta all’interrogativo prospettato può ricavarsi dalle sentenze </w:t>
      </w:r>
      <w:r w:rsidRPr="00AE6D2D">
        <w:rPr>
          <w:i/>
        </w:rPr>
        <w:t>Köbler</w:t>
      </w:r>
      <w:r w:rsidRPr="00A91232">
        <w:rPr>
          <w:vertAlign w:val="superscript"/>
        </w:rPr>
        <w:t> </w:t>
      </w:r>
      <w:r w:rsidRPr="006E1027">
        <w:rPr>
          <w:rStyle w:val="Rimandonotaapidipagina"/>
        </w:rPr>
        <w:footnoteReference w:id="92"/>
      </w:r>
      <w:r w:rsidRPr="00067EB0">
        <w:t xml:space="preserve"> e </w:t>
      </w:r>
      <w:r w:rsidRPr="00AE6D2D">
        <w:rPr>
          <w:i/>
        </w:rPr>
        <w:t>Fallimento Traghetti del Mediterraneo</w:t>
      </w:r>
      <w:r w:rsidRPr="006E1027">
        <w:rPr>
          <w:rStyle w:val="Rimandonotaapidipagina"/>
        </w:rPr>
        <w:t> </w:t>
      </w:r>
      <w:r w:rsidRPr="006E1027">
        <w:rPr>
          <w:rStyle w:val="Rimandonotaapidipagina"/>
        </w:rPr>
        <w:footnoteReference w:id="93"/>
      </w:r>
      <w:r w:rsidRPr="00067EB0">
        <w:t xml:space="preserve">, nelle quali la Corte ha affermato che «il principio secondo cui gli </w:t>
      </w:r>
      <w:r w:rsidRPr="00067EB0">
        <w:lastRenderedPageBreak/>
        <w:t>Stati membri sono obbligati a riparare i danni causati ai singoli dalle violazioni del diritto dell’Unione che sono loro imputabili si applica anche allorché la violazione di cui trattasi deriva da una decisione di un organo giurisdizionale di ultimo grado». In linea di principio è dunque possibile agire per il risarcimento dei danni arrecati da una giurisdizione statale di ultimo grado.</w:t>
      </w:r>
    </w:p>
    <w:p w14:paraId="088BE82E" w14:textId="77777777" w:rsidR="002C4301" w:rsidRPr="00067EB0" w:rsidRDefault="002C4301" w:rsidP="002C4301">
      <w:pPr>
        <w:pStyle w:val="Capoverso"/>
      </w:pPr>
      <w:r w:rsidRPr="00067EB0">
        <w:t>Tuttavia, non pare che una simile azione possa dare risultati fruttuosi nel caso in cui il danno subito derivi dalla semplice violazione dell’obbligo di rinvio. Le condizioni di merito richieste dalla Corte per risarcimento del danno sono, infatti, individuate con la consueta formula in base alla quale affinché il danno sia risarcibile è necessario che «la norma giuridica violata sia preordinata a conferire diritti ai singoli, che si tratti di violazione grave e manifesta e che esista un nesso causale diretto tra la violazione dell’obbligo incombente allo Stato e il danno subito dai soggetti lesi»</w:t>
      </w:r>
      <w:r w:rsidRPr="006E1027">
        <w:rPr>
          <w:rStyle w:val="Rimandonotaapidipagina"/>
        </w:rPr>
        <w:t> </w:t>
      </w:r>
      <w:r w:rsidRPr="006E1027">
        <w:rPr>
          <w:rStyle w:val="Rimandonotaapidipagina"/>
        </w:rPr>
        <w:footnoteReference w:id="94"/>
      </w:r>
      <w:r w:rsidRPr="00067EB0">
        <w:t>.</w:t>
      </w:r>
    </w:p>
    <w:p w14:paraId="7A56D5B2" w14:textId="3D2FC1C2" w:rsidR="002C4301" w:rsidRPr="00067EB0" w:rsidRDefault="002C4301" w:rsidP="002C4301">
      <w:pPr>
        <w:pStyle w:val="Capoverso"/>
      </w:pPr>
      <w:r w:rsidRPr="00067EB0">
        <w:t>Alla luce di tali condizioni, l’inosservanza dell’obbligo di rinvio non sembra di per sé sufficiente per ottenere il risarcimento dei danni. Invero, non sussiste la prima condizione della responsabilità risarcitoria degli Stati (norma dell’Unio</w:t>
      </w:r>
      <w:r w:rsidR="00F52656">
        <w:softHyphen/>
      </w:r>
      <w:r w:rsidRPr="00067EB0">
        <w:t>ne violata preordinata a conferire diritti ai singoli), poiché il rinvio pregiudiziale non attribuisce un vero e proprio diritto al singolo, posto che istituisce una cooperazione diretta tra il giudice e la Corte di giustizia, attraverso un procedimento estraneo ad ogni iniziativa delle parti. Ma l’ostacolo maggiore deriva dalla difficoltà, se non impossibilità, di provare il nesso eziologico diretto tra l’inadempi</w:t>
      </w:r>
      <w:r w:rsidR="00F52656">
        <w:softHyphen/>
      </w:r>
      <w:r w:rsidRPr="00067EB0">
        <w:t>mento dell’obbligo di rinvio pregiudiziale ed il danno subito, poiché grava sul singolo l’onere di dimostrare che l’organo giurisdizionale di ultima istanza avrebbe potuto adottare una decisione a lui favorevole se ci fosse stato il rinvio pregiudiziale alla Corte di giustizia. Ciò significa che l’inosservanza dell’obbligo di rinvio assume rilevanza ai fini risarcitori soltanto in presenza anche di una violazione, da parte dell’organo giurisdizionale nazionale di ultima istanza, di un’altra norma, principio, diritto fondamentale o sentenza dell’Unione.</w:t>
      </w:r>
    </w:p>
    <w:p w14:paraId="7050F536" w14:textId="13D3598A" w:rsidR="002C4301" w:rsidRPr="008D65FF" w:rsidRDefault="002C4301" w:rsidP="002C4301">
      <w:pPr>
        <w:pStyle w:val="Capoverso"/>
        <w:rPr>
          <w:spacing w:val="-1"/>
        </w:rPr>
      </w:pPr>
      <w:r w:rsidRPr="008D65FF">
        <w:rPr>
          <w:spacing w:val="-1"/>
        </w:rPr>
        <w:t>Infine, in caso di omesso rinvio può assumere rilevanza la violazione del diritto all’equo processo nonché a un giudice precostituito per legge, sanciti dal</w:t>
      </w:r>
      <w:r w:rsidR="008D65FF" w:rsidRPr="008D65FF">
        <w:rPr>
          <w:spacing w:val="-1"/>
        </w:rPr>
        <w:softHyphen/>
      </w:r>
      <w:r w:rsidRPr="008D65FF">
        <w:rPr>
          <w:spacing w:val="-1"/>
        </w:rPr>
        <w:t xml:space="preserve">l’art. 6 CEDU e dall’art. 47, secondo comma, </w:t>
      </w:r>
      <w:r w:rsidR="00DA2710">
        <w:t>CDFUE</w:t>
      </w:r>
      <w:r w:rsidRPr="008D65FF">
        <w:rPr>
          <w:spacing w:val="-1"/>
        </w:rPr>
        <w:t>. In particolare, la Corte EDU ha messo in risalto che le supreme magistrature che non intendano procedere al rinvio sono tenute ad esplicitare le ragioni alla base di tale rifiuto</w:t>
      </w:r>
      <w:r w:rsidRPr="008D65FF">
        <w:rPr>
          <w:rStyle w:val="Rimandonotaapidipagina"/>
          <w:spacing w:val="-1"/>
        </w:rPr>
        <w:t> </w:t>
      </w:r>
      <w:r w:rsidRPr="008D65FF">
        <w:rPr>
          <w:rStyle w:val="Rimandonotaapidipagina"/>
          <w:spacing w:val="-1"/>
        </w:rPr>
        <w:footnoteReference w:id="95"/>
      </w:r>
      <w:r w:rsidRPr="008D65FF">
        <w:rPr>
          <w:spacing w:val="-1"/>
        </w:rPr>
        <w:t>, con particolare riguardo alle eccezioni previste dalla giurisprudenza della Corte di giustizia</w:t>
      </w:r>
      <w:r w:rsidRPr="008D65FF">
        <w:rPr>
          <w:rStyle w:val="Rimandonotaapidipagina"/>
          <w:spacing w:val="-1"/>
        </w:rPr>
        <w:t> </w:t>
      </w:r>
      <w:r w:rsidRPr="008D65FF">
        <w:rPr>
          <w:rStyle w:val="Rimandonotaapidipagina"/>
          <w:spacing w:val="-1"/>
        </w:rPr>
        <w:footnoteReference w:id="96"/>
      </w:r>
      <w:r w:rsidRPr="008D65FF">
        <w:rPr>
          <w:spacing w:val="-1"/>
        </w:rPr>
        <w:t xml:space="preserve">. Nondimeno, la Corte di Strasburgo ha chiarito che il rifiuto può essere rilevato anche con una motivazione implicita e, più in generale, </w:t>
      </w:r>
      <w:r w:rsidRPr="008D65FF">
        <w:rPr>
          <w:spacing w:val="-1"/>
        </w:rPr>
        <w:lastRenderedPageBreak/>
        <w:t>ha ribadito che l’art 6, par. 1, CEDU non attribuisce alla parte ricorrente un diritto soggettivo a vedere accolta dai giudici nazionali l’istanza di rinvio pregiudiziale d’interpre</w:t>
      </w:r>
      <w:r w:rsidR="000D3AEA">
        <w:rPr>
          <w:spacing w:val="-1"/>
        </w:rPr>
        <w:softHyphen/>
      </w:r>
      <w:r w:rsidRPr="008D65FF">
        <w:rPr>
          <w:spacing w:val="-1"/>
        </w:rPr>
        <w:t>ta</w:t>
      </w:r>
      <w:r w:rsidR="000D3AEA">
        <w:rPr>
          <w:spacing w:val="-1"/>
        </w:rPr>
        <w:softHyphen/>
      </w:r>
      <w:r w:rsidRPr="008D65FF">
        <w:rPr>
          <w:spacing w:val="-1"/>
        </w:rPr>
        <w:t>zione</w:t>
      </w:r>
      <w:r w:rsidRPr="008D65FF">
        <w:rPr>
          <w:rStyle w:val="Rimandonotaapidipagina"/>
          <w:spacing w:val="-1"/>
        </w:rPr>
        <w:t> </w:t>
      </w:r>
      <w:r w:rsidRPr="008D65FF">
        <w:rPr>
          <w:rStyle w:val="Rimandonotaapidipagina"/>
          <w:spacing w:val="-1"/>
        </w:rPr>
        <w:footnoteReference w:id="97"/>
      </w:r>
      <w:r w:rsidRPr="008D65FF">
        <w:rPr>
          <w:spacing w:val="-1"/>
        </w:rPr>
        <w:t>. Nel complesso, si tratta di una posizione prudente che circoscrive la possibilità di sindacare, ai sensi dell’art. 6 CEDU, l’ina</w:t>
      </w:r>
      <w:r w:rsidR="008D65FF">
        <w:rPr>
          <w:spacing w:val="-1"/>
        </w:rPr>
        <w:softHyphen/>
      </w:r>
      <w:r w:rsidRPr="008D65FF">
        <w:rPr>
          <w:spacing w:val="-1"/>
        </w:rPr>
        <w:t>dempimento del giudice nazionale all’obbligo di sollevare il rinvio pregiudiziale.</w:t>
      </w:r>
    </w:p>
    <w:p w14:paraId="6CDC1A04" w14:textId="77777777" w:rsidR="002C4301" w:rsidRPr="00190E78" w:rsidRDefault="002C4301" w:rsidP="002C4301">
      <w:pPr>
        <w:pStyle w:val="Paragrafo"/>
      </w:pPr>
      <w:r w:rsidRPr="00190E78">
        <w:t>5. Profili oggettivi. La ricevibilità del quesito pregiudiziale</w:t>
      </w:r>
    </w:p>
    <w:p w14:paraId="52DEFFF7" w14:textId="77777777" w:rsidR="002C4301" w:rsidRPr="00067EB0" w:rsidRDefault="002C4301" w:rsidP="002C4301">
      <w:pPr>
        <w:pStyle w:val="Capoverso"/>
      </w:pPr>
      <w:r w:rsidRPr="00067EB0">
        <w:t>Occorre ora spostare l’attenzione dai soggetti della procedura di rinvio, al</w:t>
      </w:r>
      <w:r w:rsidR="008D65FF">
        <w:softHyphen/>
      </w:r>
      <w:r w:rsidRPr="00067EB0">
        <w:t xml:space="preserve">l’oggetto della stessa, vale a dire il </w:t>
      </w:r>
      <w:r w:rsidRPr="00AE6D2D">
        <w:rPr>
          <w:i/>
        </w:rPr>
        <w:t>quesito pregiudiziale</w:t>
      </w:r>
      <w:r w:rsidRPr="00067EB0">
        <w:t>.</w:t>
      </w:r>
    </w:p>
    <w:p w14:paraId="500E91F4" w14:textId="77777777" w:rsidR="002C4301" w:rsidRPr="00067EB0" w:rsidRDefault="002C4301" w:rsidP="002C4301">
      <w:pPr>
        <w:pStyle w:val="Capoverso"/>
      </w:pPr>
      <w:r w:rsidRPr="00067EB0">
        <w:t xml:space="preserve">Si pone innanzitutto il problema di valutare la </w:t>
      </w:r>
      <w:r w:rsidRPr="00AE6D2D">
        <w:rPr>
          <w:i/>
        </w:rPr>
        <w:t xml:space="preserve">pertinenza </w:t>
      </w:r>
      <w:r w:rsidRPr="00067EB0">
        <w:t xml:space="preserve">di tale quesito ai fini della risoluzione della controversia. Come la Corte ha più volte affermato, in linea di principio, una simile valutazione spetta al giudice </w:t>
      </w:r>
      <w:r w:rsidRPr="00AE6D2D">
        <w:rPr>
          <w:i/>
        </w:rPr>
        <w:t>a quo</w:t>
      </w:r>
      <w:r w:rsidRPr="00067EB0">
        <w:t>, che si tratti di giudice di grado inferiore o di ultima istanza. Da una costante giurisprudenza emerge infatti che «nell’ambito della cooperazione tra la Corte e i giudici nazionali istituita dall’articolo 267 TFUE spetta esclusivamente al giudice nazionale, cui è stata sottoposta la controversia e che deve assumersi la responsabilità del</w:t>
      </w:r>
      <w:r w:rsidR="008D65FF">
        <w:softHyphen/>
      </w:r>
      <w:r w:rsidRPr="00067EB0">
        <w:t>l’emananda decisione giurisdizionale, valutare, alla luce delle particolari circostanze di ciascuna causa, sia la necessità di una pronuncia pregiudiziale per essere in grado di emettere la propria sentenza, sia la rilevanza delle questioni che sottopone alla Corte. Di conseguenza, ove le questioni poste vertono sull’inter</w:t>
      </w:r>
      <w:r w:rsidR="008D65FF">
        <w:softHyphen/>
      </w:r>
      <w:r w:rsidRPr="00067EB0">
        <w:t>pretazione del diritto dell’Unione, la Corte, in linea di principio, è tenuta a statuire»</w:t>
      </w:r>
      <w:r w:rsidRPr="00A91232">
        <w:rPr>
          <w:vertAlign w:val="superscript"/>
        </w:rPr>
        <w:t> </w:t>
      </w:r>
      <w:r w:rsidRPr="006E1027">
        <w:rPr>
          <w:rStyle w:val="Rimandonotaapidipagina"/>
        </w:rPr>
        <w:footnoteReference w:id="98"/>
      </w:r>
      <w:r w:rsidRPr="00CD1630">
        <w:t xml:space="preserve"> </w:t>
      </w:r>
      <w:r w:rsidRPr="00067EB0">
        <w:t>. La Corte aggiunge di conseguenza che le questioni poste dal giudice nazionale godono di una “presunzione di rilevanza”, superabile solo in presenza di situazioni specifiche sulle quali torneremo più avanti.</w:t>
      </w:r>
    </w:p>
    <w:p w14:paraId="5A0214B5" w14:textId="512D1B40" w:rsidR="002C4301" w:rsidRPr="00067EB0" w:rsidRDefault="002C4301" w:rsidP="002C4301">
      <w:pPr>
        <w:pStyle w:val="Capoverso"/>
      </w:pPr>
      <w:r w:rsidRPr="00067EB0">
        <w:t>La competenza del giudice interno, tuttavia, non è esclusiva e deve contemperarsi con la competenza della stessa Corte di giustizia a fissare i limiti della propria giurisdizione. La valutazione svolta dal giudice nazionale, dunque, viene successivamente vagliata dalla Corte, che potrà, in primo luogo, modificare i quesiti pregiudiziali formulati in modo improprio, e persino pronunciarsi su disposizioni non richiamate dal giudice del rinvio, ma necessarie per risolvere il quesito</w:t>
      </w:r>
      <w:r w:rsidRPr="006E1027">
        <w:rPr>
          <w:rStyle w:val="Rimandonotaapidipagina"/>
        </w:rPr>
        <w:t> </w:t>
      </w:r>
      <w:r w:rsidRPr="006E1027">
        <w:rPr>
          <w:rStyle w:val="Rimandonotaapidipagina"/>
        </w:rPr>
        <w:footnoteReference w:id="99"/>
      </w:r>
      <w:r w:rsidRPr="00067EB0">
        <w:t xml:space="preserve">. In secondo luogo, se tali interventi correttivi </w:t>
      </w:r>
      <w:r w:rsidRPr="00067EB0">
        <w:lastRenderedPageBreak/>
        <w:t>non dovessero essere sufficienti, perché i quesiti eccedono del tutto la sua competenza, la Corte potrà dichiararli irricevibili.</w:t>
      </w:r>
    </w:p>
    <w:p w14:paraId="1CE14025" w14:textId="2E1EC286" w:rsidR="002C4301" w:rsidRPr="008D65FF" w:rsidRDefault="002C4301" w:rsidP="002C4301">
      <w:pPr>
        <w:pStyle w:val="Capoverso"/>
        <w:rPr>
          <w:spacing w:val="-1"/>
        </w:rPr>
      </w:pPr>
      <w:r w:rsidRPr="008D65FF">
        <w:rPr>
          <w:spacing w:val="-1"/>
        </w:rPr>
        <w:t xml:space="preserve">In estrema sintesi si può affermare che, in base a tale interpretazione, i trattati conferiscono la competenza pregiudiziale alla Corte affinché questa dia un </w:t>
      </w:r>
      <w:r w:rsidRPr="008D65FF">
        <w:rPr>
          <w:i/>
          <w:spacing w:val="-1"/>
        </w:rPr>
        <w:t>contributo concreto</w:t>
      </w:r>
      <w:r w:rsidRPr="008D65FF">
        <w:rPr>
          <w:spacing w:val="-1"/>
        </w:rPr>
        <w:t xml:space="preserve"> all’amministrazione della giustizia. Tale contributo si sostanzia in una pronuncia utile ai fini della risoluzione della causa principale. Di conseguenza, quando l’intervento richiesto alla Corte non è necessario a tal fine, </w:t>
      </w:r>
      <w:r w:rsidR="0044651B">
        <w:rPr>
          <w:spacing w:val="-1"/>
        </w:rPr>
        <w:t>ad es</w:t>
      </w:r>
      <w:r w:rsidR="00DA53AB">
        <w:rPr>
          <w:spacing w:val="-1"/>
        </w:rPr>
        <w:t>e</w:t>
      </w:r>
      <w:r w:rsidR="0044651B">
        <w:rPr>
          <w:spacing w:val="-1"/>
        </w:rPr>
        <w:t>mpio quando la Corte ritiene che la giurisdizione di rinvio non dispone di competenza per decidere le questioni oggetto del rinvio</w:t>
      </w:r>
      <w:r w:rsidR="0044651B">
        <w:rPr>
          <w:rStyle w:val="Rimandonotaapidipagina"/>
          <w:spacing w:val="-1"/>
        </w:rPr>
        <w:footnoteReference w:id="100"/>
      </w:r>
      <w:r w:rsidR="0044651B">
        <w:rPr>
          <w:spacing w:val="-1"/>
        </w:rPr>
        <w:t xml:space="preserve">, </w:t>
      </w:r>
      <w:r w:rsidRPr="008D65FF">
        <w:rPr>
          <w:spacing w:val="-1"/>
        </w:rPr>
        <w:t>e quando la Corte non dispone degli elementi necessari per fornire un apporto alla risoluzione della causa principale, il quesito non è ricevibile. Di converso, sempre allo scopo di fornire al giudice nazionale una risposta utile che gli consenta di dirimere la controversia di cui è investito, la Corte può prendere in considerazione norme del diritto del</w:t>
      </w:r>
      <w:r w:rsidR="000D3AEA">
        <w:rPr>
          <w:spacing w:val="-1"/>
        </w:rPr>
        <w:softHyphen/>
      </w:r>
      <w:r w:rsidRPr="008D65FF">
        <w:rPr>
          <w:spacing w:val="-1"/>
        </w:rPr>
        <w:t>l’Unione alle quali il giudice nazionale non ha fatto riferimento nel formulare la questione</w:t>
      </w:r>
      <w:r w:rsidRPr="008D65FF">
        <w:rPr>
          <w:rStyle w:val="Rimandonotaapidipagina"/>
          <w:spacing w:val="-1"/>
        </w:rPr>
        <w:t> </w:t>
      </w:r>
      <w:r w:rsidRPr="008D65FF">
        <w:rPr>
          <w:rStyle w:val="Rimandonotaapidipagina"/>
          <w:spacing w:val="-1"/>
        </w:rPr>
        <w:footnoteReference w:id="101"/>
      </w:r>
      <w:r w:rsidRPr="008D65FF">
        <w:rPr>
          <w:spacing w:val="-1"/>
        </w:rPr>
        <w:t>.</w:t>
      </w:r>
    </w:p>
    <w:p w14:paraId="08667D7F" w14:textId="6DB85D89" w:rsidR="002C4301" w:rsidRPr="00067EB0" w:rsidRDefault="002C4301" w:rsidP="002C4301">
      <w:pPr>
        <w:pStyle w:val="Capoverso"/>
      </w:pPr>
      <w:r w:rsidRPr="00067EB0">
        <w:t xml:space="preserve">Una prima categoria di questioni pregiudiziali irricevibili è costituita da quelle </w:t>
      </w:r>
      <w:r w:rsidRPr="00AE6D2D">
        <w:rPr>
          <w:i/>
        </w:rPr>
        <w:t>irrilevanti ai fini della risoluzione della causa a quo</w:t>
      </w:r>
      <w:r w:rsidRPr="00067EB0">
        <w:t>. Tale ipotesi si verifica, in primo luogo, quando risulta in maniera manifesta che l’interpretazione del diritto dell’Unione richiesta non ha alcuna relazione con la realtà effettiva o con l’og</w:t>
      </w:r>
      <w:r w:rsidR="008D65FF">
        <w:softHyphen/>
      </w:r>
      <w:r w:rsidRPr="00067EB0">
        <w:t>getto della causa principale, oppure quando i quesiti posti dal giudice nazionale non sono necessari per la risoluzione della controversia a quo</w:t>
      </w:r>
      <w:r w:rsidRPr="006E1027">
        <w:rPr>
          <w:rStyle w:val="Rimandonotaapidipagina"/>
        </w:rPr>
        <w:t> </w:t>
      </w:r>
      <w:r w:rsidRPr="006E1027">
        <w:rPr>
          <w:rStyle w:val="Rimandonotaapidipagina"/>
        </w:rPr>
        <w:footnoteReference w:id="102"/>
      </w:r>
      <w:r w:rsidRPr="00067EB0">
        <w:t xml:space="preserve">. </w:t>
      </w:r>
    </w:p>
    <w:p w14:paraId="5EE93180" w14:textId="77777777" w:rsidR="002C4301" w:rsidRPr="00067EB0" w:rsidRDefault="002C4301" w:rsidP="002C4301">
      <w:pPr>
        <w:pStyle w:val="Capoverso"/>
      </w:pPr>
      <w:r w:rsidRPr="00067EB0">
        <w:t xml:space="preserve">In secondo luogo, sono irrilevanti le </w:t>
      </w:r>
      <w:r w:rsidRPr="00AE6D2D">
        <w:rPr>
          <w:i/>
        </w:rPr>
        <w:t>questioni generali o meramente ipotetiche</w:t>
      </w:r>
      <w:r w:rsidRPr="006E1027">
        <w:rPr>
          <w:rStyle w:val="Rimandonotaapidipagina"/>
        </w:rPr>
        <w:t> </w:t>
      </w:r>
      <w:r w:rsidRPr="006E1027">
        <w:rPr>
          <w:rStyle w:val="Rimandonotaapidipagina"/>
        </w:rPr>
        <w:footnoteReference w:id="103"/>
      </w:r>
      <w:r w:rsidRPr="00067EB0">
        <w:t>, quelle vertenti su atti non ancora emanati dalle istituzioni della Comunità</w:t>
      </w:r>
      <w:r w:rsidRPr="006E1027">
        <w:rPr>
          <w:rStyle w:val="Rimandonotaapidipagina"/>
        </w:rPr>
        <w:t> </w:t>
      </w:r>
      <w:r w:rsidRPr="006E1027">
        <w:rPr>
          <w:rStyle w:val="Rimandonotaapidipagina"/>
        </w:rPr>
        <w:footnoteReference w:id="104"/>
      </w:r>
      <w:r w:rsidRPr="00067EB0">
        <w:t>, e quelle poste nell’ambito di un giudizio già concluso, come nell’ipotesi di un giudice nazionale che, in un procedimento d’urgenza, si rivolge alla Corte concedendo contemporaneamente la misura cautelare richiesta</w:t>
      </w:r>
      <w:r w:rsidRPr="006E1027">
        <w:rPr>
          <w:rStyle w:val="Rimandonotaapidipagina"/>
        </w:rPr>
        <w:t> </w:t>
      </w:r>
      <w:r w:rsidRPr="006E1027">
        <w:rPr>
          <w:rStyle w:val="Rimandonotaapidipagina"/>
        </w:rPr>
        <w:footnoteReference w:id="105"/>
      </w:r>
      <w:r w:rsidRPr="00067EB0">
        <w:t>. In altri casi, la Corte ha escluso la presenza di una reale controversia, ed ha precisato che i giudici nazionali sono competenti ad adirla unica</w:t>
      </w:r>
      <w:r w:rsidRPr="00067EB0">
        <w:lastRenderedPageBreak/>
        <w:t>mente se dinanzi ad essa sia pendente una lite e se essi siano stati chiamati a statuire nell’ambito di un procedimento destinato a risolversi in una pronuncia di natura giurisdizionale</w:t>
      </w:r>
      <w:r w:rsidRPr="006E1027">
        <w:rPr>
          <w:rStyle w:val="Rimandonotaapidipagina"/>
        </w:rPr>
        <w:t> </w:t>
      </w:r>
      <w:r w:rsidRPr="006E1027">
        <w:rPr>
          <w:rStyle w:val="Rimandonotaapidipagina"/>
        </w:rPr>
        <w:footnoteReference w:id="106"/>
      </w:r>
      <w:r w:rsidRPr="00067EB0">
        <w:t>.</w:t>
      </w:r>
    </w:p>
    <w:p w14:paraId="331CD677" w14:textId="77777777" w:rsidR="002C4301" w:rsidRPr="00067EB0" w:rsidRDefault="002C4301" w:rsidP="002C4301">
      <w:pPr>
        <w:pStyle w:val="Capoverso"/>
      </w:pPr>
      <w:r w:rsidRPr="00067EB0">
        <w:t>Diversa la soluzione raggiunta dalla Corte a fronte di quesiti rivolti dal Consiglio di Stato italiano nell’esercizio della sua funzione consultiva nel contesto del ricorso straordinario al Capo dello Stato</w:t>
      </w:r>
      <w:r w:rsidR="0060394F">
        <w:rPr>
          <w:rFonts w:ascii="Arial" w:eastAsia="PMingLiU" w:hAnsi="Arial" w:cs="Arial"/>
          <w:noProof/>
          <w:color w:val="1F1F1F"/>
          <w:sz w:val="30"/>
          <w:szCs w:val="30"/>
          <w:shd w:val="clear" w:color="auto" w:fill="FFFFFF"/>
          <w:lang w:eastAsia="zh-TW"/>
        </w:rPr>
        <w:t xml:space="preserve"> </w:t>
      </w:r>
      <w:r w:rsidR="0060394F" w:rsidRPr="0060394F">
        <w:t>disciplinato dal Decreto del presidente della Repubblica 24 novembre 1971, n. 1199</w:t>
      </w:r>
      <w:r w:rsidRPr="00067EB0">
        <w:t>, posto che, secondo la Corte, di fatto il parere del Consiglio di Stato assume un valore vincolante</w:t>
      </w:r>
      <w:r w:rsidRPr="006E1027">
        <w:rPr>
          <w:rStyle w:val="Rimandonotaapidipagina"/>
        </w:rPr>
        <w:t> </w:t>
      </w:r>
      <w:r w:rsidRPr="006E1027">
        <w:rPr>
          <w:rStyle w:val="Rimandonotaapidipagina"/>
        </w:rPr>
        <w:footnoteReference w:id="107"/>
      </w:r>
      <w:r w:rsidRPr="00067EB0">
        <w:t>.</w:t>
      </w:r>
    </w:p>
    <w:p w14:paraId="745C5A56" w14:textId="77777777" w:rsidR="002C4301" w:rsidRPr="008D65FF" w:rsidRDefault="002C4301" w:rsidP="002C4301">
      <w:pPr>
        <w:pStyle w:val="Capoverso"/>
        <w:rPr>
          <w:spacing w:val="-2"/>
        </w:rPr>
      </w:pPr>
      <w:r w:rsidRPr="008D65FF">
        <w:rPr>
          <w:spacing w:val="-2"/>
        </w:rPr>
        <w:t>Non ostacola l’intervento della Corte, invece, la circostanza che il suo intervento venga richiesto da un giudice nel corso di un procedimento cautelare</w:t>
      </w:r>
      <w:r w:rsidRPr="008D65FF">
        <w:rPr>
          <w:rStyle w:val="Rimandonotaapidipagina"/>
          <w:spacing w:val="-2"/>
        </w:rPr>
        <w:t> </w:t>
      </w:r>
      <w:r w:rsidRPr="008D65FF">
        <w:rPr>
          <w:rStyle w:val="Rimandonotaapidipagina"/>
          <w:spacing w:val="-2"/>
        </w:rPr>
        <w:footnoteReference w:id="108"/>
      </w:r>
      <w:r w:rsidRPr="008D65FF">
        <w:rPr>
          <w:spacing w:val="-2"/>
        </w:rPr>
        <w:t>: ciò, nonostante l’apparente contraddizione tra le esigenze di speditezza e di cognizione sommaria propria di detti procedimenti, che mal si conciliano con la necessaria sospensione del processo in attesa della pronuncia della Corte di giustizia.</w:t>
      </w:r>
    </w:p>
    <w:p w14:paraId="16027D8C" w14:textId="24C44829" w:rsidR="002C4301" w:rsidRPr="00067EB0" w:rsidRDefault="002C4301" w:rsidP="002C4301">
      <w:pPr>
        <w:pStyle w:val="Capoverso"/>
      </w:pPr>
      <w:r w:rsidRPr="00067EB0">
        <w:t xml:space="preserve">Infine, i quesiti possono essere dichiarati irricevibili per irrilevanza qualora </w:t>
      </w:r>
      <w:r w:rsidRPr="00AE6D2D">
        <w:rPr>
          <w:i/>
        </w:rPr>
        <w:t>non contengono gli elementi di fatto o di diritto necessari alla Corte per fornire una risposta utile</w:t>
      </w:r>
      <w:r w:rsidRPr="00067EB0">
        <w:t xml:space="preserve">. Si tratta di un’ipotesi che ricorre con una certa frequenza nella giurisprudenza della Corte, e che trova la sua origine nella sentenza </w:t>
      </w:r>
      <w:r w:rsidRPr="00AE6D2D">
        <w:rPr>
          <w:i/>
        </w:rPr>
        <w:t>Telemarsicabruzzo</w:t>
      </w:r>
      <w:r w:rsidRPr="006E1027">
        <w:rPr>
          <w:rStyle w:val="Rimandonotaapidipagina"/>
        </w:rPr>
        <w:t> </w:t>
      </w:r>
      <w:r w:rsidRPr="006E1027">
        <w:rPr>
          <w:rStyle w:val="Rimandonotaapidipagina"/>
        </w:rPr>
        <w:footnoteReference w:id="109"/>
      </w:r>
      <w:r w:rsidRPr="00067EB0">
        <w:t>. Fino a quell’epoca, infatti, animata soprattutto da spirito didascalico, la Corte rispondeva anche alle più vaghe ed imprecise questioni pregiudiziali, nonostante le eccezioni sollevate dagli Stati membri che lamentavano l’impos</w:t>
      </w:r>
      <w:r w:rsidR="008D65FF">
        <w:softHyphen/>
      </w:r>
      <w:r w:rsidRPr="00067EB0">
        <w:t>sibilità di avvalersi del diritto di presentare osservazioni nel merito come previsto dallo Statuto</w:t>
      </w:r>
      <w:r w:rsidRPr="006E1027">
        <w:rPr>
          <w:rStyle w:val="Rimandonotaapidipagina"/>
        </w:rPr>
        <w:t> </w:t>
      </w:r>
      <w:r w:rsidRPr="006E1027">
        <w:rPr>
          <w:rStyle w:val="Rimandonotaapidipagina"/>
        </w:rPr>
        <w:footnoteReference w:id="110"/>
      </w:r>
      <w:r w:rsidRPr="00067EB0">
        <w:t xml:space="preserve">. A partire dalla pronuncia della sentenza citata, la Corte </w:t>
      </w:r>
      <w:r w:rsidR="005C5932">
        <w:t xml:space="preserve">non risponde alle domande pregiudiziali </w:t>
      </w:r>
      <w:r w:rsidRPr="00067EB0">
        <w:t>ove il giudice nazionale non definisca l’am</w:t>
      </w:r>
      <w:r w:rsidR="000D3AEA">
        <w:softHyphen/>
      </w:r>
      <w:r w:rsidRPr="00067EB0">
        <w:t>bito di fatto e di diritto in cui si inseriscono le questioni sollevate o non spieghi almeno le ipotesi di fatto su cui tali questioni sono fondate. Tali informazioni sono indispensabili per determinare il quadro nel quale dovrà collocarsi l’in</w:t>
      </w:r>
      <w:r w:rsidR="000D3AEA">
        <w:softHyphen/>
      </w:r>
      <w:r w:rsidRPr="00067EB0">
        <w:t>ter</w:t>
      </w:r>
      <w:r w:rsidR="000D3AEA">
        <w:softHyphen/>
      </w:r>
      <w:r w:rsidRPr="00067EB0">
        <w:t>pretazione richiesta e, dunque, per comprendere il senso e la portata delle questioni sottoposte alla Corte.</w:t>
      </w:r>
    </w:p>
    <w:p w14:paraId="78971156" w14:textId="58015CC9" w:rsidR="002C4301" w:rsidRPr="00067EB0" w:rsidRDefault="002C4301" w:rsidP="002C4301">
      <w:pPr>
        <w:pStyle w:val="Capoverso"/>
      </w:pPr>
      <w:r w:rsidRPr="00067EB0">
        <w:t xml:space="preserve">Non occorre peraltro, a tal fine, che le ordinanze di rinvio contengano una </w:t>
      </w:r>
      <w:r w:rsidRPr="00067EB0">
        <w:lastRenderedPageBreak/>
        <w:t>motivazione eccessivamente dettagliata. Il giudice del rinvio deve, pertanto, fornire «almeno una minima spiegazione dei motivi che lo hanno indotto a chiedere l’interpretazione di quelle determinate disposizioni comunitarie e sul nesso intercorrente tra le disposizioni medesime e la normativa nazionale applicabile alla controversia»</w:t>
      </w:r>
      <w:r w:rsidRPr="006E1027">
        <w:rPr>
          <w:rStyle w:val="Rimandonotaapidipagina"/>
        </w:rPr>
        <w:t> </w:t>
      </w:r>
      <w:r w:rsidRPr="006E1027">
        <w:rPr>
          <w:rStyle w:val="Rimandonotaapidipagina"/>
        </w:rPr>
        <w:footnoteReference w:id="111"/>
      </w:r>
      <w:r w:rsidRPr="00067EB0">
        <w:t>. Tale spiegazione deve essere sufficiente a raggiungere un duplice scopo: consentire alla Corte di risolvere in modo utile le questioni pregiudiziali sollevate, e</w:t>
      </w:r>
      <w:r w:rsidR="005C5932">
        <w:t xml:space="preserve"> </w:t>
      </w:r>
      <w:r w:rsidRPr="00067EB0">
        <w:t>dare ai governi degli Stati membri e alle altre parti interessate la possibilità di presentare utilmente osservazioni ai sensi dell’art. 23 Statuto</w:t>
      </w:r>
      <w:r w:rsidRPr="006E1027">
        <w:rPr>
          <w:rStyle w:val="Rimandonotaapidipagina"/>
        </w:rPr>
        <w:footnoteReference w:id="112"/>
      </w:r>
      <w:r w:rsidRPr="00067EB0">
        <w:t>.</w:t>
      </w:r>
    </w:p>
    <w:p w14:paraId="56811A42" w14:textId="6B34DA52" w:rsidR="002C4301" w:rsidRPr="00067EB0" w:rsidRDefault="002C4301" w:rsidP="002C4301">
      <w:pPr>
        <w:pStyle w:val="Capoverso"/>
      </w:pPr>
      <w:r w:rsidRPr="00067EB0">
        <w:t>Va anche sottolineato che, secondo la giurisprudenza della Corte, le esigenze di chiarezza e completezza nella redazione delle ordinanze di rinvio pregiudiziale «valgono in modo del tutto particolare nel settore della concorrenza, caratterizzata da situazioni di fatto e di diritto complesse»</w:t>
      </w:r>
      <w:r w:rsidRPr="006E1027">
        <w:rPr>
          <w:rStyle w:val="Rimandonotaapidipagina"/>
        </w:rPr>
        <w:t> </w:t>
      </w:r>
      <w:r w:rsidRPr="006E1027">
        <w:rPr>
          <w:rStyle w:val="Rimandonotaapidipagina"/>
        </w:rPr>
        <w:footnoteReference w:id="113"/>
      </w:r>
      <w:r w:rsidRPr="00067EB0">
        <w:t xml:space="preserve">. </w:t>
      </w:r>
    </w:p>
    <w:p w14:paraId="31D9464C" w14:textId="77777777" w:rsidR="002C4301" w:rsidRPr="00067EB0" w:rsidRDefault="002C4301" w:rsidP="002C4301">
      <w:pPr>
        <w:pStyle w:val="Capoverso"/>
      </w:pPr>
      <w:r w:rsidRPr="00067EB0">
        <w:t xml:space="preserve">Occorre infine menzionare un’ulteriore ipotesi di questione pregiudiziale irricevibile, quella sollevata nell’ambito di una </w:t>
      </w:r>
      <w:r w:rsidRPr="00AE6D2D">
        <w:rPr>
          <w:i/>
        </w:rPr>
        <w:t>controversia fittizia</w:t>
      </w:r>
      <w:r w:rsidRPr="00067EB0">
        <w:t xml:space="preserve"> (c.d. </w:t>
      </w:r>
      <w:r w:rsidRPr="00AE6D2D">
        <w:rPr>
          <w:i/>
        </w:rPr>
        <w:t>proces-bidon</w:t>
      </w:r>
      <w:r w:rsidRPr="00067EB0">
        <w:t xml:space="preserve">). Si tratta di una soluzione utilizzata, ad esempio, nella causa che ha dato luogo alle due sentenze </w:t>
      </w:r>
      <w:r w:rsidRPr="00AE6D2D">
        <w:rPr>
          <w:i/>
        </w:rPr>
        <w:t>Foglia c. Novello</w:t>
      </w:r>
      <w:r w:rsidRPr="006E1027">
        <w:rPr>
          <w:rStyle w:val="Rimandonotaapidipagina"/>
        </w:rPr>
        <w:t> </w:t>
      </w:r>
      <w:r w:rsidRPr="006E1027">
        <w:rPr>
          <w:rStyle w:val="Rimandonotaapidipagina"/>
        </w:rPr>
        <w:footnoteReference w:id="114"/>
      </w:r>
      <w:r w:rsidRPr="00067EB0">
        <w:t>.</w:t>
      </w:r>
    </w:p>
    <w:p w14:paraId="776A8FCC" w14:textId="77777777" w:rsidR="002C4301" w:rsidRPr="008D65FF" w:rsidRDefault="002C4301" w:rsidP="002C4301">
      <w:pPr>
        <w:pStyle w:val="Capoverso"/>
        <w:rPr>
          <w:spacing w:val="-1"/>
        </w:rPr>
      </w:pPr>
      <w:r w:rsidRPr="008D65FF">
        <w:rPr>
          <w:spacing w:val="-1"/>
        </w:rPr>
        <w:t>Nella specie, la parte attrice, un commerciante italiano di vini si era impegnato ad inviare in Francia alcuni cartoni di vini liquorosi venduti alla convenuta. Nel contratto stipulato tra i due si stabiliva che eventuali tributi contrastanti con il regime di libera circolazione delle merci sarebbero stati a carico del venditore. Quest’ultimo stipulava un secondo contratto con un’impresa incaricata di trasportare la merce, nel quale si stabiliva che gli stessi tributi illegittimi sarebbero stati a carico del trasportatore. Come era scontato, al momento dell’introduzio</w:t>
      </w:r>
      <w:r w:rsidR="008D65FF" w:rsidRPr="008D65FF">
        <w:rPr>
          <w:spacing w:val="-1"/>
        </w:rPr>
        <w:softHyphen/>
      </w:r>
      <w:r w:rsidRPr="008D65FF">
        <w:rPr>
          <w:spacing w:val="-1"/>
        </w:rPr>
        <w:t xml:space="preserve">ne dei vini liquorosi nel territorio francese, l’autorità fiscale domandava il pagamento dell’imposta di consumo. Da ciò originava una causa di fronte al Pretore di Bra, avente ad oggetto la legittimità della legislazione fiscale francese relativa ai vini liquorosi. La Corte di giustizia, chiamata dal giudice italiano a pronunciarsi in via pregiudiziale, riscontrava l’artificiosità della controversia deducibile da una serie di elementi: uno per tutti, la parte attrice, pur considerando gli oneri fiscali in questione illegittimi, </w:t>
      </w:r>
      <w:r w:rsidRPr="008D65FF">
        <w:rPr>
          <w:spacing w:val="-1"/>
        </w:rPr>
        <w:lastRenderedPageBreak/>
        <w:t>e dunque spettanti al trasportatore, se ne era accollata l’onere, giustificando la sua presenza nel giudizio anche sulla base dell’interesse della sua impresa, come appartenente ad una determinata categoria di operatori economici, alla soluzione dei problemi giuridici sollevati dalla controversia</w:t>
      </w:r>
      <w:r w:rsidRPr="008D65FF">
        <w:rPr>
          <w:rStyle w:val="Rimandonotaapidipagina"/>
          <w:spacing w:val="-1"/>
        </w:rPr>
        <w:t> </w:t>
      </w:r>
      <w:r w:rsidRPr="008D65FF">
        <w:rPr>
          <w:rStyle w:val="Rimandonotaapidipagina"/>
          <w:spacing w:val="-1"/>
        </w:rPr>
        <w:footnoteReference w:id="115"/>
      </w:r>
      <w:r w:rsidRPr="008D65FF">
        <w:rPr>
          <w:spacing w:val="-1"/>
        </w:rPr>
        <w:t>.</w:t>
      </w:r>
    </w:p>
    <w:p w14:paraId="4E1B7C2B" w14:textId="66A6DFA3" w:rsidR="002C4301" w:rsidRPr="008D65FF" w:rsidRDefault="002C4301" w:rsidP="002C4301">
      <w:pPr>
        <w:pStyle w:val="Capoverso"/>
        <w:rPr>
          <w:spacing w:val="-1"/>
        </w:rPr>
      </w:pPr>
      <w:r w:rsidRPr="008D65FF">
        <w:rPr>
          <w:spacing w:val="-1"/>
        </w:rPr>
        <w:t>Stante l’assenza di una reale controversia, la Corte rifiutava di rispondere al giudice nazionale, affermando che «[l]a funzione che l’art. 177 [oggi art. 267</w:t>
      </w:r>
      <w:r w:rsidR="00937DC6">
        <w:rPr>
          <w:spacing w:val="-1"/>
        </w:rPr>
        <w:t xml:space="preserve"> TFUE</w:t>
      </w:r>
      <w:r w:rsidRPr="008D65FF">
        <w:rPr>
          <w:spacing w:val="-1"/>
        </w:rPr>
        <w:t>] del trattato affida alla Corte di giustizia è quella di fornire ai giudici della Comunità gli elementi di interpretazione loro necessari per la soluzione di controversie effettive loro sottoposte. Se, mediante accorgimenti del tipo di quelli sopra descritti, la Corte fosse obbligata a pronunziarsi, si arrecherebbe pregiudizio al sistema dell’insieme dei rimedi giurisdizionali di cui dispongono i singoli per tutelarsi contro l’applicazione di leggi fiscali contrarie alle norme del trattato»</w:t>
      </w:r>
      <w:r w:rsidRPr="008D65FF">
        <w:rPr>
          <w:rStyle w:val="Rimandonotaapidipagina"/>
          <w:spacing w:val="-1"/>
        </w:rPr>
        <w:t> </w:t>
      </w:r>
      <w:r w:rsidRPr="008D65FF">
        <w:rPr>
          <w:rStyle w:val="Rimandonotaapidipagina"/>
          <w:spacing w:val="-1"/>
        </w:rPr>
        <w:footnoteReference w:id="116"/>
      </w:r>
      <w:r w:rsidRPr="008D65FF">
        <w:rPr>
          <w:spacing w:val="-1"/>
        </w:rPr>
        <w:t>. Nuovamente investita dallo stesso giudice italiano, la Corte ha aggiunto un ulteriore argomento, sostenendo che «la Corte deve esercitare una particolare vigilanza quando le venga sottoposta, nell’ambito di una controversia fra privati, una questione pregiudiziale intesa a consentire al giudice di valutare la compatibilità della normativa di un altro Stato membro col diritto comunitario»</w:t>
      </w:r>
      <w:r w:rsidRPr="008D65FF">
        <w:rPr>
          <w:rStyle w:val="Rimandonotaapidipagina"/>
          <w:spacing w:val="-1"/>
        </w:rPr>
        <w:t> </w:t>
      </w:r>
      <w:r w:rsidRPr="008D65FF">
        <w:rPr>
          <w:rStyle w:val="Rimandonotaapidipagina"/>
          <w:spacing w:val="-1"/>
        </w:rPr>
        <w:footnoteReference w:id="117"/>
      </w:r>
      <w:r w:rsidRPr="008D65FF">
        <w:rPr>
          <w:spacing w:val="-1"/>
        </w:rPr>
        <w:t>.</w:t>
      </w:r>
    </w:p>
    <w:p w14:paraId="0F776F97" w14:textId="3F810911" w:rsidR="002C4301" w:rsidRPr="00067EB0" w:rsidRDefault="002C4301" w:rsidP="002C4301">
      <w:pPr>
        <w:pStyle w:val="Capoverso"/>
      </w:pPr>
      <w:r w:rsidRPr="00067EB0">
        <w:t xml:space="preserve">Non sono mancate in dottrina voci critiche sulla giurisprudenza in oggetto. In particolare, è stato segnalato che la Corte non ha a disposizione gli strumenti processuali adeguati per giudicare del carattere concreto o fittizio della controversia </w:t>
      </w:r>
      <w:r w:rsidRPr="00AE6D2D">
        <w:rPr>
          <w:i/>
        </w:rPr>
        <w:t>a quo</w:t>
      </w:r>
      <w:r w:rsidRPr="00067EB0">
        <w:t>, né appare chiaro sulla base di quali criteri tale giudizio debba essere svolto. Inoltre, tale giurisprudenza è tanto più contestabile se si considera che il giudice interno non può, al pari della Corte, rifiutarsi di giudicare sulle controversie ritenute fittizie, senza commettere un diniego di giustizia. Pertanto, nell’impossibilità di declinare la propria giurisdizione si troverà nella situazione di dover risolvere autonomamente le questioni di diritto dell’Unione sollevate, con un evidente pericolo per l’esigenza di uniforme applicazione del diritto. Ed infatti, nella successiva giurisprudenza la Corte, a fronte di eccezioni di irricevibilità fondate sul preteso carattere fittizio o artificiale della controversia di cui alla causa principale, non le ha mai accolte</w:t>
      </w:r>
      <w:r w:rsidRPr="006E1027">
        <w:rPr>
          <w:rStyle w:val="Rimandonotaapidipagina"/>
        </w:rPr>
        <w:t> </w:t>
      </w:r>
      <w:r w:rsidRPr="006E1027">
        <w:rPr>
          <w:rStyle w:val="Rimandonotaapidipagina"/>
        </w:rPr>
        <w:footnoteReference w:id="118"/>
      </w:r>
      <w:r w:rsidRPr="00067EB0">
        <w:t>, precisando, in un caso, che l’ac</w:t>
      </w:r>
      <w:r w:rsidR="008D65FF">
        <w:softHyphen/>
      </w:r>
      <w:r w:rsidRPr="00067EB0">
        <w:t>cordo delle parti nella causa principale sul risultato da ottenere non incide sul</w:t>
      </w:r>
      <w:r w:rsidR="008D65FF">
        <w:softHyphen/>
      </w:r>
      <w:r w:rsidRPr="00067EB0">
        <w:t xml:space="preserve">l’effettività della controversia e non esclude la ricevibilità della questione pregiudiziale, se risulta che detta questione «risponde ad un bisogno oggettivo inerente alla soluzione della </w:t>
      </w:r>
      <w:r w:rsidRPr="00067EB0">
        <w:lastRenderedPageBreak/>
        <w:t>causa principale»</w:t>
      </w:r>
      <w:r w:rsidRPr="006E1027">
        <w:rPr>
          <w:rStyle w:val="Rimandonotaapidipagina"/>
        </w:rPr>
        <w:t> </w:t>
      </w:r>
      <w:r w:rsidRPr="006E1027">
        <w:rPr>
          <w:rStyle w:val="Rimandonotaapidipagina"/>
        </w:rPr>
        <w:footnoteReference w:id="119"/>
      </w:r>
      <w:r w:rsidRPr="00067EB0">
        <w:t xml:space="preserve">. </w:t>
      </w:r>
    </w:p>
    <w:p w14:paraId="7400B1E5" w14:textId="57A98075" w:rsidR="002C4301" w:rsidRPr="00067EB0" w:rsidRDefault="005C5932" w:rsidP="002C4301">
      <w:pPr>
        <w:pStyle w:val="Capoverso"/>
      </w:pPr>
      <w:r>
        <w:t>Sempre in tema di valutazione della ricevibilità dei quesiti pregiudiziali, la Corte ha precisato che</w:t>
      </w:r>
      <w:r w:rsidR="002C4301" w:rsidRPr="00067EB0">
        <w:t xml:space="preserve"> la competenza pregiudiziale non riguarda “situazioni puramente interne” agli Stati membri. Con questa espressione la Corte ha inteso designare quelle fattispecie che non presentano alcun fattore di collegamento a una qualunque delle situazioni contemplate dal diritto dell’UE e i cui elementi sono tutti confinati al</w:t>
      </w:r>
      <w:r w:rsidR="008D65FF">
        <w:softHyphen/>
      </w:r>
      <w:r w:rsidR="002C4301" w:rsidRPr="00067EB0">
        <w:t>l’interno di un unico Stato membro</w:t>
      </w:r>
      <w:r w:rsidR="002C4301" w:rsidRPr="006E1027">
        <w:rPr>
          <w:rStyle w:val="Rimandonotaapidipagina"/>
        </w:rPr>
        <w:t> </w:t>
      </w:r>
      <w:r w:rsidR="002C4301" w:rsidRPr="006E1027">
        <w:rPr>
          <w:rStyle w:val="Rimandonotaapidipagina"/>
        </w:rPr>
        <w:footnoteReference w:id="120"/>
      </w:r>
      <w:r w:rsidR="002C4301" w:rsidRPr="00067EB0">
        <w:t>, con la conseguenza che esse non ricadono nel cono d’ombra del diritto dell’Unione</w:t>
      </w:r>
      <w:r w:rsidR="002C4301" w:rsidRPr="006E1027">
        <w:rPr>
          <w:rStyle w:val="Rimandonotaapidipagina"/>
        </w:rPr>
        <w:t> </w:t>
      </w:r>
      <w:r w:rsidR="002C4301" w:rsidRPr="006E1027">
        <w:rPr>
          <w:rStyle w:val="Rimandonotaapidipagina"/>
        </w:rPr>
        <w:footnoteReference w:id="121"/>
      </w:r>
      <w:r w:rsidR="002C4301" w:rsidRPr="00067EB0">
        <w:t>. In realtà, la Corte di giustizia ha riconosciuto la sua competenza a pronunciarsi anche nelle situazioni puramente interne se le norme del diritto nazionale sono riproduttive delle disposizioni del diritto dell’Unione</w:t>
      </w:r>
      <w:r w:rsidR="002C4301" w:rsidRPr="006E1027">
        <w:rPr>
          <w:rStyle w:val="Rimandonotaapidipagina"/>
        </w:rPr>
        <w:t> </w:t>
      </w:r>
      <w:r w:rsidR="002C4301" w:rsidRPr="006E1027">
        <w:rPr>
          <w:rStyle w:val="Rimandonotaapidipagina"/>
        </w:rPr>
        <w:footnoteReference w:id="122"/>
      </w:r>
      <w:r w:rsidR="002C4301" w:rsidRPr="00067EB0">
        <w:t xml:space="preserve"> o se operano un chiaro e diretto rinvio a queste ultime al fine di determinare il contenuto o l’interpretazione delle norme interne applicabili</w:t>
      </w:r>
      <w:r w:rsidR="002C4301" w:rsidRPr="006E1027">
        <w:rPr>
          <w:rStyle w:val="Rimandonotaapidipagina"/>
        </w:rPr>
        <w:t> </w:t>
      </w:r>
      <w:r w:rsidR="002C4301" w:rsidRPr="006E1027">
        <w:rPr>
          <w:rStyle w:val="Rimandonotaapidipagina"/>
        </w:rPr>
        <w:footnoteReference w:id="123"/>
      </w:r>
      <w:r w:rsidR="002C4301" w:rsidRPr="00067EB0">
        <w:t>. In questa prospettiva, è stato ritenuto ricevibile un rinvio pregiudiziale avente ad oggetto l’applicazione delle sole regole antitrust nazionali (</w:t>
      </w:r>
      <w:r w:rsidR="002C4301" w:rsidRPr="00DA019E">
        <w:rPr>
          <w:i/>
        </w:rPr>
        <w:t>id est</w:t>
      </w:r>
      <w:r w:rsidR="002C4301" w:rsidRPr="00067EB0">
        <w:t>, legge 287/</w:t>
      </w:r>
      <w:r w:rsidR="00DA019E">
        <w:t>19</w:t>
      </w:r>
      <w:r w:rsidR="002C4301" w:rsidRPr="00067EB0">
        <w:t>90), modellate su quelle dell’Unione e recanti un espresso rinvio a queste ultime</w:t>
      </w:r>
      <w:r w:rsidR="002C4301" w:rsidRPr="006E1027">
        <w:rPr>
          <w:rStyle w:val="Rimandonotaapidipagina"/>
        </w:rPr>
        <w:t> </w:t>
      </w:r>
      <w:r w:rsidR="002C4301" w:rsidRPr="006E1027">
        <w:rPr>
          <w:rStyle w:val="Rimandonotaapidipagina"/>
        </w:rPr>
        <w:footnoteReference w:id="124"/>
      </w:r>
      <w:r w:rsidR="002C4301" w:rsidRPr="00067EB0">
        <w:t xml:space="preserve">. La Corte di giustizia ha esteso la sua competenza anche nelle seguenti situazioni: </w:t>
      </w:r>
      <w:r w:rsidR="00937DC6">
        <w:rPr>
          <w:i/>
          <w:iCs/>
        </w:rPr>
        <w:t>(</w:t>
      </w:r>
      <w:r w:rsidR="002C4301" w:rsidRPr="007B7251">
        <w:rPr>
          <w:i/>
          <w:iCs/>
        </w:rPr>
        <w:t>a)</w:t>
      </w:r>
      <w:r w:rsidR="002C4301" w:rsidRPr="00067EB0">
        <w:t xml:space="preserve"> se la soluzione ai quesiti proposti dal giudice del rinvio possa risultare utile nell’ipotesi in cui esso sia tenuto, in base al diritto nazionale, ad applicare alla fattispecie puramente interna il regime di cui beneficerebbe, nella medesima situazione, una fattispecie soggetta al diritto dell’Unio</w:t>
      </w:r>
      <w:r w:rsidR="008D65FF">
        <w:softHyphen/>
      </w:r>
      <w:r w:rsidR="002C4301" w:rsidRPr="00067EB0">
        <w:t>ne</w:t>
      </w:r>
      <w:r w:rsidR="002C4301" w:rsidRPr="006E1027">
        <w:rPr>
          <w:rStyle w:val="Rimandonotaapidipagina"/>
        </w:rPr>
        <w:t> </w:t>
      </w:r>
      <w:r w:rsidR="002C4301" w:rsidRPr="006E1027">
        <w:rPr>
          <w:rStyle w:val="Rimandonotaapidipagina"/>
        </w:rPr>
        <w:footnoteReference w:id="125"/>
      </w:r>
      <w:r w:rsidR="002C4301" w:rsidRPr="00067EB0">
        <w:t xml:space="preserve">; </w:t>
      </w:r>
      <w:r w:rsidR="00937DC6" w:rsidRPr="007B7251">
        <w:rPr>
          <w:i/>
          <w:iCs/>
        </w:rPr>
        <w:t>(</w:t>
      </w:r>
      <w:r w:rsidR="002C4301" w:rsidRPr="007B7251">
        <w:rPr>
          <w:i/>
          <w:iCs/>
        </w:rPr>
        <w:t>b)</w:t>
      </w:r>
      <w:r w:rsidR="002C4301" w:rsidRPr="00067EB0">
        <w:t xml:space="preserve"> se la misura nazionale oggetto della controversia dinanzi al giudice nazionale sia suscettibile di produrre degli effetti transnazionali</w:t>
      </w:r>
      <w:r w:rsidR="002C4301" w:rsidRPr="006E1027">
        <w:rPr>
          <w:rStyle w:val="Rimandonotaapidipagina"/>
        </w:rPr>
        <w:t> </w:t>
      </w:r>
      <w:r w:rsidR="002C4301" w:rsidRPr="006E1027">
        <w:rPr>
          <w:rStyle w:val="Rimandonotaapidipagina"/>
        </w:rPr>
        <w:footnoteReference w:id="126"/>
      </w:r>
      <w:r w:rsidR="002C4301" w:rsidRPr="00067EB0">
        <w:t xml:space="preserve">; e </w:t>
      </w:r>
      <w:r w:rsidR="00937DC6" w:rsidRPr="007B7251">
        <w:rPr>
          <w:i/>
          <w:iCs/>
        </w:rPr>
        <w:t>(</w:t>
      </w:r>
      <w:r w:rsidR="002C4301" w:rsidRPr="007B7251">
        <w:rPr>
          <w:i/>
          <w:iCs/>
        </w:rPr>
        <w:t>c)</w:t>
      </w:r>
      <w:r w:rsidR="002C4301" w:rsidRPr="00067EB0">
        <w:t xml:space="preserve"> se il giudice del rinvio si rivolga alla Corte nell’ambito di un procedimento di annullamento di disposizioni applicabili nei confronti non solo dei cittadini nazionali, ma anche dei cittadini degli altri Stati membri</w:t>
      </w:r>
      <w:r w:rsidR="002C4301" w:rsidRPr="006E1027">
        <w:rPr>
          <w:rStyle w:val="Rimandonotaapidipagina"/>
        </w:rPr>
        <w:t> </w:t>
      </w:r>
      <w:r w:rsidR="002C4301" w:rsidRPr="006E1027">
        <w:rPr>
          <w:rStyle w:val="Rimandonotaapidipagina"/>
        </w:rPr>
        <w:footnoteReference w:id="127"/>
      </w:r>
      <w:r w:rsidR="002C4301" w:rsidRPr="00067EB0">
        <w:t>.</w:t>
      </w:r>
    </w:p>
    <w:p w14:paraId="59B58751" w14:textId="77777777" w:rsidR="002C4301" w:rsidRPr="00190E78" w:rsidRDefault="002C4301" w:rsidP="002C4301">
      <w:pPr>
        <w:pStyle w:val="Paragrafo"/>
      </w:pPr>
      <w:r w:rsidRPr="00190E78">
        <w:lastRenderedPageBreak/>
        <w:t>6. Tempi e forme del rinvio pregiudiziale</w:t>
      </w:r>
    </w:p>
    <w:p w14:paraId="24150246" w14:textId="245899C2" w:rsidR="002C4301" w:rsidRPr="00067EB0" w:rsidRDefault="002C4301" w:rsidP="002C4301">
      <w:pPr>
        <w:pStyle w:val="Capoverso"/>
      </w:pPr>
      <w:r w:rsidRPr="00067EB0">
        <w:t>Nelle sue Raccomandazioni all’attenzione dei giudici nazionali, relative alla presentazione di domande di pronuncia pregiudiziali, la cui ultima versione risale al</w:t>
      </w:r>
      <w:r w:rsidR="005C5932">
        <w:t>l’ottobre 2024</w:t>
      </w:r>
      <w:r w:rsidRPr="006E1027">
        <w:rPr>
          <w:rStyle w:val="Rimandonotaapidipagina"/>
        </w:rPr>
        <w:t> </w:t>
      </w:r>
      <w:r w:rsidRPr="006E1027">
        <w:rPr>
          <w:rStyle w:val="Rimandonotaapidipagina"/>
        </w:rPr>
        <w:footnoteReference w:id="128"/>
      </w:r>
      <w:r w:rsidRPr="00067EB0">
        <w:t>, la Corte fornisce alcuni utili elementi ai giudici nazionali in merito al momento del processo nel quale sottoporre quesiti pregiudiziali alla Corte</w:t>
      </w:r>
      <w:r w:rsidR="005C5932">
        <w:t xml:space="preserve"> (ed ora anche al Tribunale)</w:t>
      </w:r>
      <w:r w:rsidRPr="00067EB0">
        <w:t>, nonché in merito alla forma del rinvio pregiudiziale.</w:t>
      </w:r>
    </w:p>
    <w:p w14:paraId="5504F4B8" w14:textId="77777777" w:rsidR="002C4301" w:rsidRPr="00067EB0" w:rsidRDefault="002C4301" w:rsidP="002C4301">
      <w:pPr>
        <w:pStyle w:val="Capoverso"/>
      </w:pPr>
      <w:r w:rsidRPr="00067EB0">
        <w:t xml:space="preserve">Con riferimento alla prima questione, nella nota si sottolinea che la giurisdizione nazionale può rinviare alla Corte una questione pregiudiziale «non appena constati che una pronuncia relativa all’interpretazione o alla validità del diritto dell’Unione è necessaria ai fini della decisione che esso deve emanare. Detto giudice si trova, infatti, nella posizione migliore per valutare in quale fase del procedimento nazionale occorra formulare tale domanda». È tuttavia auspicabile, </w:t>
      </w:r>
      <w:r w:rsidRPr="008D65FF">
        <w:rPr>
          <w:spacing w:val="-1"/>
        </w:rPr>
        <w:t>puntualizza la Corte, che «la decisione di effettuare un rinvio pregiudiziale venga presa in una fase del procedimento nella quale il giudice del rinvio sia in grado di definire con sufficiente precisione il contesto di fatto e di diritto del procedimento principale, nonché le questioni giuridiche che esso solleva. Nel</w:t>
      </w:r>
      <w:r w:rsidR="008D65FF" w:rsidRPr="008D65FF">
        <w:rPr>
          <w:spacing w:val="-1"/>
        </w:rPr>
        <w:softHyphen/>
      </w:r>
      <w:r w:rsidRPr="008D65FF">
        <w:rPr>
          <w:spacing w:val="-1"/>
        </w:rPr>
        <w:t>l’interesse di una corretta amministrazione della giustizia può anche risultare opportuno che il rinvio venga effettuato in esito a un contraddittorio tra le parti»</w:t>
      </w:r>
      <w:r w:rsidR="005C5932">
        <w:rPr>
          <w:spacing w:val="-1"/>
        </w:rPr>
        <w:t xml:space="preserve"> (punto 23)</w:t>
      </w:r>
      <w:r w:rsidRPr="008D65FF">
        <w:rPr>
          <w:spacing w:val="-1"/>
        </w:rPr>
        <w:t>.</w:t>
      </w:r>
    </w:p>
    <w:p w14:paraId="3A2D2703" w14:textId="77777777" w:rsidR="002C4301" w:rsidRPr="00067EB0" w:rsidRDefault="002C4301" w:rsidP="002C4301">
      <w:pPr>
        <w:pStyle w:val="Capoverso"/>
      </w:pPr>
      <w:r w:rsidRPr="00067EB0">
        <w:t>In relazione, invece, alla forma del rinvio pregiudiziale, la Corte omette di prendere posizione, ricordando solo che «La domanda di pronuncia pregiudiziale può rivestire qualsiasi forma ammessa dal diritto nazionale»</w:t>
      </w:r>
      <w:r w:rsidR="005C5932">
        <w:t xml:space="preserve"> (punto 14)</w:t>
      </w:r>
      <w:r w:rsidRPr="00067EB0">
        <w:t>. Premesso l’inevitabile ossequio alle regole nazionali di procedura, la Corte aggiunge che è solo la domanda di pronuncia pregiudiziale che viene notificata agli interessati legittimati a presentare osservazioni dinanzi alla Corte – in particolare gli Stati membri e le istituzioni – e che costituisce oggetto di una traduzione.</w:t>
      </w:r>
    </w:p>
    <w:p w14:paraId="713E74B4" w14:textId="6C291441" w:rsidR="002C4301" w:rsidRPr="007574F4" w:rsidRDefault="002C4301" w:rsidP="002C4301">
      <w:pPr>
        <w:pStyle w:val="Capoverso"/>
        <w:rPr>
          <w:spacing w:val="-2"/>
        </w:rPr>
      </w:pPr>
      <w:r w:rsidRPr="007574F4">
        <w:rPr>
          <w:spacing w:val="-2"/>
        </w:rPr>
        <w:t>Da ciò la Corte desume che l’ordinanza di rinvio debba essere redatta in ter</w:t>
      </w:r>
      <w:r w:rsidR="000D3AEA" w:rsidRPr="007574F4">
        <w:rPr>
          <w:spacing w:val="-2"/>
        </w:rPr>
        <w:softHyphen/>
      </w:r>
      <w:r w:rsidRPr="007574F4">
        <w:rPr>
          <w:spacing w:val="-2"/>
        </w:rPr>
        <w:t>mini semplici, chiari e precisi, senza elementi superflui: una lunghezza che non supera una decina di pagine è spesso sufficiente per esporre il contesto di una domanda di pronuncia pregiudiziale in maniera adeguata. Pur rimanendo succinta, la decisione di rinvio deve tuttavia essere sufficientemente completa e contenere tutte le informazioni pertinenti in modo da consentire alla Corte, nonché agli interessati legittimati a presentare osservazioni, di intendere correttamente l’am</w:t>
      </w:r>
      <w:r w:rsidR="00AE5E64">
        <w:rPr>
          <w:spacing w:val="-2"/>
        </w:rPr>
        <w:softHyphen/>
      </w:r>
      <w:r w:rsidRPr="007574F4">
        <w:rPr>
          <w:spacing w:val="-2"/>
        </w:rPr>
        <w:t>bito di fatto e di diritto della controversia nel procedimento nazionale</w:t>
      </w:r>
      <w:r w:rsidR="000D3AEA" w:rsidRPr="007574F4">
        <w:rPr>
          <w:spacing w:val="-2"/>
          <w:vertAlign w:val="superscript"/>
        </w:rPr>
        <w:t> </w:t>
      </w:r>
      <w:r w:rsidR="005C5932" w:rsidRPr="007574F4">
        <w:rPr>
          <w:rStyle w:val="Rimandonotaapidipagina"/>
          <w:spacing w:val="-2"/>
        </w:rPr>
        <w:footnoteReference w:id="129"/>
      </w:r>
      <w:r w:rsidRPr="007574F4">
        <w:rPr>
          <w:spacing w:val="-2"/>
        </w:rPr>
        <w:t xml:space="preserve">. </w:t>
      </w:r>
    </w:p>
    <w:p w14:paraId="04101CB3" w14:textId="27DF1308" w:rsidR="002C4301" w:rsidRPr="00067EB0" w:rsidRDefault="002C4301" w:rsidP="002C4301">
      <w:pPr>
        <w:pStyle w:val="Capoverso"/>
      </w:pPr>
      <w:r w:rsidRPr="00067EB0">
        <w:lastRenderedPageBreak/>
        <w:t xml:space="preserve">Va chiarito che, pur non avendo ovviamente valore vincolante, le Raccomandazioni mirano ad orientare i giudici nazionali sull’opportunità di procedere o meno ad un rinvio pregiudiziale e ad aiutarli a formulare e a presentare le questioni pregiudiziali. Infatti, in assenza di uno o più dei punti essenziali di fatto e di diritto che giustificano il coinvolgimento della Corte di giustizia, quest’ultima può dichiararsi incompetente a statuire sulle questioni sollevate in via pregiudiziale o respingere la domanda di pronuncia pregiudiziale in quanto irricevibile, in particolare sulla base dell’art. 53, par. 2, </w:t>
      </w:r>
      <w:r w:rsidR="008D3393">
        <w:t>reg. proc. Corte</w:t>
      </w:r>
      <w:r w:rsidRPr="00067EB0">
        <w:t>.</w:t>
      </w:r>
    </w:p>
    <w:p w14:paraId="7929A384" w14:textId="7A850E81" w:rsidR="002C4301" w:rsidRPr="00AE5E64" w:rsidRDefault="002C4301" w:rsidP="002C4301">
      <w:pPr>
        <w:pStyle w:val="Capoverso"/>
        <w:rPr>
          <w:spacing w:val="-2"/>
        </w:rPr>
      </w:pPr>
      <w:r w:rsidRPr="00AE5E64">
        <w:rPr>
          <w:spacing w:val="-2"/>
        </w:rPr>
        <w:t>La Corte ha comunque la possibilità, in virtù dell’art. 101, n. 1</w:t>
      </w:r>
      <w:r w:rsidR="00AE5E64" w:rsidRPr="00AE5E64">
        <w:rPr>
          <w:spacing w:val="-2"/>
        </w:rPr>
        <w:t>,</w:t>
      </w:r>
      <w:r w:rsidRPr="00AE5E64">
        <w:rPr>
          <w:spacing w:val="-2"/>
        </w:rPr>
        <w:t xml:space="preserve"> </w:t>
      </w:r>
      <w:r w:rsidR="008D3393" w:rsidRPr="00AE5E64">
        <w:rPr>
          <w:spacing w:val="-2"/>
        </w:rPr>
        <w:t>reg. proc. Corte</w:t>
      </w:r>
      <w:r w:rsidRPr="00AE5E64">
        <w:rPr>
          <w:spacing w:val="-2"/>
        </w:rPr>
        <w:t>, di chiedere chiarimenti in proposito al giudice nazionale, ma nella prassi ciò avviene solo in poche occasioni</w:t>
      </w:r>
      <w:r w:rsidRPr="00AE5E64">
        <w:rPr>
          <w:rStyle w:val="Rimandonotaapidipagina"/>
          <w:spacing w:val="-2"/>
        </w:rPr>
        <w:t> </w:t>
      </w:r>
      <w:r w:rsidRPr="00AE5E64">
        <w:rPr>
          <w:rStyle w:val="Rimandonotaapidipagina"/>
          <w:spacing w:val="-2"/>
        </w:rPr>
        <w:footnoteReference w:id="130"/>
      </w:r>
      <w:r w:rsidRPr="00AE5E64">
        <w:rPr>
          <w:spacing w:val="-2"/>
        </w:rPr>
        <w:t>, così come i giudici nazionali possono decidere di adire nuovamente la Corte se ritengono di non aver ricevuto sufficienti chiarimenti mediante una pronuncia pregiudiziale (art. 104, n. 2</w:t>
      </w:r>
      <w:r w:rsidR="00AE5E64" w:rsidRPr="00AE5E64">
        <w:rPr>
          <w:spacing w:val="-2"/>
        </w:rPr>
        <w:t>,</w:t>
      </w:r>
      <w:r w:rsidRPr="00AE5E64">
        <w:rPr>
          <w:spacing w:val="-2"/>
        </w:rPr>
        <w:t xml:space="preserve"> </w:t>
      </w:r>
      <w:r w:rsidR="008D3393" w:rsidRPr="00AE5E64">
        <w:rPr>
          <w:spacing w:val="-2"/>
        </w:rPr>
        <w:t>reg. proc. Corte</w:t>
      </w:r>
      <w:r w:rsidRPr="00AE5E64">
        <w:rPr>
          <w:spacing w:val="-2"/>
        </w:rPr>
        <w:t>).</w:t>
      </w:r>
    </w:p>
    <w:p w14:paraId="4D72EA66" w14:textId="2AA9CDB3" w:rsidR="002C4301" w:rsidRPr="00067EB0" w:rsidRDefault="002C4301" w:rsidP="002C4301">
      <w:pPr>
        <w:pStyle w:val="Capoverso"/>
      </w:pPr>
      <w:r w:rsidRPr="00067EB0">
        <w:t>Infine, la giurisdizione del rinvio, se si ritiene in grado di farlo, può indicare succintamente il suo punto di vista sulla soluzione da dare alle questioni pregiudiziali sottoposte. La o le questioni pregiudiziali stesse devono figurare in una parte distinta e chiaramente identificata della decisione di rinvio, di solito all’ini</w:t>
      </w:r>
      <w:r w:rsidR="008D65FF">
        <w:softHyphen/>
      </w:r>
      <w:r w:rsidRPr="00067EB0">
        <w:t>zio o alla fine di questa. Esse devono essere comprensibili senza far riferimento alla motivazione della domanda, che fornirà tuttavia il contesto necessario per una valutazione adeguata</w:t>
      </w:r>
      <w:r w:rsidR="001274A8">
        <w:t xml:space="preserve"> (punto 19)</w:t>
      </w:r>
      <w:r w:rsidRPr="00067EB0">
        <w:t>.</w:t>
      </w:r>
    </w:p>
    <w:p w14:paraId="4C97372D" w14:textId="77777777" w:rsidR="002C4301" w:rsidRPr="00190E78" w:rsidRDefault="002C4301" w:rsidP="002C4301">
      <w:pPr>
        <w:pStyle w:val="Paragrafo"/>
      </w:pPr>
      <w:r w:rsidRPr="00190E78">
        <w:t>7. Oggetto del giudizio interpretativo della Corte</w:t>
      </w:r>
    </w:p>
    <w:p w14:paraId="602C974E" w14:textId="36A0922D" w:rsidR="002C4301" w:rsidRPr="00067EB0" w:rsidRDefault="002C4301" w:rsidP="002C4301">
      <w:pPr>
        <w:pStyle w:val="Capoverso"/>
      </w:pPr>
      <w:r w:rsidRPr="00067EB0">
        <w:t>L’oggetto del rinvio pregiudiziale è ampio in quanto, ai sensi dell’art. 267, primo comma, TFUE, la Corte di giustizia è competente ad interpretare (</w:t>
      </w:r>
      <w:r w:rsidRPr="00AE6D2D">
        <w:rPr>
          <w:i/>
        </w:rPr>
        <w:t>a</w:t>
      </w:r>
      <w:r w:rsidRPr="00067EB0">
        <w:t>) i trattati; (</w:t>
      </w:r>
      <w:r w:rsidRPr="00AE6D2D">
        <w:rPr>
          <w:i/>
        </w:rPr>
        <w:t>b</w:t>
      </w:r>
      <w:r w:rsidRPr="00067EB0">
        <w:t xml:space="preserve">) gli atti compiuti dalle istituzioni dell’Unione e dagli organi o dagli organismi dell’Unione. Dunque, le richieste di interpretazione possono riguardare in primo luogo il diritto primario dell’Unione, cioè i Trattati istitutivi e quelli integrativi o modificativi, i protocolli annessi e gli accordi di adesione. Anche la </w:t>
      </w:r>
      <w:r w:rsidR="00DA2710">
        <w:t>CDFUE</w:t>
      </w:r>
      <w:r w:rsidRPr="00067EB0">
        <w:t xml:space="preserve">, facente parte del diritto primario grazie al rinvio di </w:t>
      </w:r>
      <w:r w:rsidRPr="00067EB0">
        <w:lastRenderedPageBreak/>
        <w:t>tipo recettizio operato dall’art. 6 TUE, può essere oggetto di quesiti interpretativi da parte dei giudizi nazionali. Il Trattato di Lisbona ha abrogato una serie di disposizioni che escludevano o limitavano la competenza della Corte creando una varietà di procedure pregiudiziali. Peraltro, rimane tuttora esclusa la sua competenza ad occuparsi dell’interpretazione delle disposizioni (del Trattato e degli atti derivati) in materia di politica estera e di sicurezza comune (</w:t>
      </w:r>
      <w:r w:rsidR="005C5932">
        <w:t>art. 24, par.</w:t>
      </w:r>
      <w:r w:rsidR="00E07EBF">
        <w:t xml:space="preserve"> </w:t>
      </w:r>
      <w:r w:rsidR="005C5932">
        <w:t>1, comma 2</w:t>
      </w:r>
      <w:r w:rsidR="00E07EBF">
        <w:t>,</w:t>
      </w:r>
      <w:r w:rsidR="005C5932">
        <w:t xml:space="preserve"> TUE e </w:t>
      </w:r>
      <w:r w:rsidRPr="00067EB0">
        <w:t>art. 275 TFUE).</w:t>
      </w:r>
      <w:r w:rsidR="005C5932">
        <w:t xml:space="preserve"> Tuttavia, per garantire una più ampia protezione dei diritti dei soggetti coinvolti, la Corte ha di recente affermato la propria competenza a pronunciarsi a titolo pregiudiziale sull’interpretazione di una decisione PESC in materia di misure restrittive. Ciò qualora il Consiglio sia venuto meno all’obbligo di mettere in opera detta decisione con un regolamento da adottare ai sensi dell’art. 215 TFUE</w:t>
      </w:r>
      <w:r w:rsidR="005C5932">
        <w:rPr>
          <w:rStyle w:val="Rimandonotaapidipagina"/>
        </w:rPr>
        <w:footnoteReference w:id="131"/>
      </w:r>
      <w:r w:rsidR="005C5932">
        <w:t>.</w:t>
      </w:r>
    </w:p>
    <w:p w14:paraId="29B58300" w14:textId="77777777" w:rsidR="002C4301" w:rsidRPr="00067EB0" w:rsidRDefault="002C4301" w:rsidP="002C4301">
      <w:pPr>
        <w:pStyle w:val="Capoverso"/>
      </w:pPr>
      <w:r w:rsidRPr="00067EB0">
        <w:t>In base al testo dell’art. 267 TFUE quale risulta dalla revisione di Lisbona, la Corte ha competenza ad interpretare gli atti non solo delle istituzioni dell’Unio</w:t>
      </w:r>
      <w:r w:rsidR="008D65FF">
        <w:softHyphen/>
      </w:r>
      <w:r w:rsidRPr="00067EB0">
        <w:t>ne, ma anche degli organi e degli organismi creati con atto del Consiglio, in particolare degli organi consultivi. Gli atti adottati dalle istituzioni, organi ed organismi dell’Unione possono essere oggetto di interpretazione indipendentemente dalla loro denominazione, anche se atipici o non nominati</w:t>
      </w:r>
      <w:r w:rsidRPr="006E1027">
        <w:rPr>
          <w:rStyle w:val="Rimandonotaapidipagina"/>
        </w:rPr>
        <w:t> </w:t>
      </w:r>
      <w:r w:rsidRPr="006E1027">
        <w:rPr>
          <w:rStyle w:val="Rimandonotaapidipagina"/>
        </w:rPr>
        <w:footnoteReference w:id="132"/>
      </w:r>
      <w:r w:rsidRPr="00067EB0">
        <w:t xml:space="preserve"> dal loro carattere vincolante o meno, e dalla loro efficacia diretta</w:t>
      </w:r>
      <w:r w:rsidRPr="006E1027">
        <w:rPr>
          <w:rStyle w:val="Rimandonotaapidipagina"/>
        </w:rPr>
        <w:t> </w:t>
      </w:r>
      <w:r w:rsidRPr="006E1027">
        <w:rPr>
          <w:rStyle w:val="Rimandonotaapidipagina"/>
        </w:rPr>
        <w:footnoteReference w:id="133"/>
      </w:r>
      <w:r w:rsidRPr="00067EB0">
        <w:t>. È ricevibile anche il quesito relativo alla interpretazione e alla validità di una direttiva il cui termine per la trasposizione non è ancora scaduto, se il giudizio della Corte è necessario per la definizione di una controversia relativa al potere delle autorità legislative nazionali di operare la sua trasposizione in atti legislativi interni</w:t>
      </w:r>
      <w:r w:rsidRPr="006E1027">
        <w:rPr>
          <w:rStyle w:val="Rimandonotaapidipagina"/>
        </w:rPr>
        <w:t> </w:t>
      </w:r>
      <w:r w:rsidRPr="006E1027">
        <w:rPr>
          <w:rStyle w:val="Rimandonotaapidipagina"/>
        </w:rPr>
        <w:footnoteReference w:id="134"/>
      </w:r>
      <w:r w:rsidRPr="00067EB0">
        <w:t>. Va poi precisato che, in base ad una giurisprudenza controversa</w:t>
      </w:r>
      <w:r w:rsidRPr="006E1027">
        <w:rPr>
          <w:rStyle w:val="Rimandonotaapidipagina"/>
        </w:rPr>
        <w:t> </w:t>
      </w:r>
      <w:r w:rsidRPr="006E1027">
        <w:rPr>
          <w:rStyle w:val="Rimandonotaapidipagina"/>
        </w:rPr>
        <w:footnoteReference w:id="135"/>
      </w:r>
      <w:r w:rsidRPr="00067EB0">
        <w:t xml:space="preserve">, la Corte può scegliere di interpretare disposizioni diverse rispetto a quelle oggetto dei quesiti pregiudiziali come formulati dal giudice del rinvio. Se pure finalizzata a dare una risposta utile al giudice </w:t>
      </w:r>
      <w:r w:rsidRPr="00AE6D2D">
        <w:rPr>
          <w:i/>
          <w:iCs/>
        </w:rPr>
        <w:t>a quo</w:t>
      </w:r>
      <w:r w:rsidRPr="00067EB0">
        <w:t>, questa prassi provoca diverse difficoltà, tra cui quella di consentire alle parti della procedura un contraddittorio pieno e informato in merito alle regole di diritto dell’Unione europea da interpretare.</w:t>
      </w:r>
    </w:p>
    <w:p w14:paraId="336F4D8D" w14:textId="77777777" w:rsidR="002C4301" w:rsidRPr="00067EB0" w:rsidRDefault="002C4301" w:rsidP="002C4301">
      <w:pPr>
        <w:pStyle w:val="Capoverso"/>
      </w:pPr>
      <w:r w:rsidRPr="00067EB0">
        <w:t xml:space="preserve">La questione di interpretazione può vertere anche, direttamente o indirettamente, sull’interpretazione dei principi generali del diritto dell’Unione, compresi quelli in materia di diritti fondamentali: si veda, ad esempio, la sentenza </w:t>
      </w:r>
      <w:r w:rsidRPr="00AE6D2D">
        <w:rPr>
          <w:i/>
          <w:iCs/>
        </w:rPr>
        <w:t>Michaniki</w:t>
      </w:r>
      <w:r w:rsidRPr="00067EB0">
        <w:t xml:space="preserve">, in cui la disciplina costituzionale greca in materia di appalti </w:t>
      </w:r>
      <w:r w:rsidRPr="00067EB0">
        <w:lastRenderedPageBreak/>
        <w:t>e cause di esclusione alle gare e stata dichiarata non compatibile con il principio di proporzionalità</w:t>
      </w:r>
      <w:r w:rsidRPr="006E1027">
        <w:rPr>
          <w:rStyle w:val="Rimandonotaapidipagina"/>
        </w:rPr>
        <w:t> </w:t>
      </w:r>
      <w:r w:rsidRPr="006E1027">
        <w:rPr>
          <w:rStyle w:val="Rimandonotaapidipagina"/>
        </w:rPr>
        <w:footnoteReference w:id="136"/>
      </w:r>
      <w:r w:rsidRPr="00067EB0">
        <w:t>.</w:t>
      </w:r>
    </w:p>
    <w:p w14:paraId="4FFED6B0" w14:textId="77777777" w:rsidR="002C4301" w:rsidRPr="00067EB0" w:rsidRDefault="002C4301" w:rsidP="002C4301">
      <w:pPr>
        <w:pStyle w:val="Capoverso"/>
      </w:pPr>
      <w:r w:rsidRPr="00067EB0">
        <w:t>Anche le sentenze della Corte possono formare oggetto di rinvio pregiudiziale di interpretazione, sia quando rese in via pregiudiziale sia nell’ambito di altre procedure</w:t>
      </w:r>
      <w:r w:rsidRPr="006E1027">
        <w:rPr>
          <w:rStyle w:val="Rimandonotaapidipagina"/>
        </w:rPr>
        <w:t> </w:t>
      </w:r>
      <w:r w:rsidRPr="006E1027">
        <w:rPr>
          <w:rStyle w:val="Rimandonotaapidipagina"/>
        </w:rPr>
        <w:footnoteReference w:id="137"/>
      </w:r>
      <w:r w:rsidRPr="00067EB0">
        <w:t>.</w:t>
      </w:r>
    </w:p>
    <w:p w14:paraId="7E7F0E2D" w14:textId="361ACE92" w:rsidR="002C4301" w:rsidRPr="00067EB0" w:rsidRDefault="002C4301" w:rsidP="002C4301">
      <w:pPr>
        <w:pStyle w:val="Capoverso"/>
      </w:pPr>
      <w:r w:rsidRPr="00067EB0">
        <w:t>La competenza pregiudiziale della Corte si estende anche all’interpretazione delle norme di diritto internazionale generale e degli accordi internazionali stipulati dall’Unione, in particolare per quanto riguarda gli accordi di associazione, nonché per l’interpretazione delle decisioni assunte dagli organi istituiti dal</w:t>
      </w:r>
      <w:r w:rsidR="008D65FF">
        <w:softHyphen/>
      </w:r>
      <w:r w:rsidRPr="00067EB0">
        <w:t>l’accordo internazionale ed incaricati della sua applicazione</w:t>
      </w:r>
      <w:r w:rsidRPr="006E1027">
        <w:rPr>
          <w:rStyle w:val="Rimandonotaapidipagina"/>
        </w:rPr>
        <w:t> </w:t>
      </w:r>
      <w:r w:rsidRPr="006E1027">
        <w:rPr>
          <w:rStyle w:val="Rimandonotaapidipagina"/>
        </w:rPr>
        <w:footnoteReference w:id="138"/>
      </w:r>
      <w:r w:rsidRPr="00067EB0">
        <w:t>. Per quel che concerne gli accordi misti</w:t>
      </w:r>
      <w:r w:rsidRPr="006E1027">
        <w:rPr>
          <w:rStyle w:val="Rimandonotaapidipagina"/>
        </w:rPr>
        <w:t> </w:t>
      </w:r>
      <w:r w:rsidRPr="006E1027">
        <w:rPr>
          <w:rStyle w:val="Rimandonotaapidipagina"/>
        </w:rPr>
        <w:footnoteReference w:id="139"/>
      </w:r>
      <w:r w:rsidRPr="00067EB0">
        <w:t>, si pone il problema di chiarire se la competenza della Corte si estenda alle sole disposizioni rientranti nella competenza del</w:t>
      </w:r>
      <w:r w:rsidR="008D65FF">
        <w:softHyphen/>
      </w:r>
      <w:r w:rsidRPr="00067EB0">
        <w:t>l’Unione, oppure all’insieme dell’accordo, in quanto la sua conclusione da parte del Consiglio riguarda l’intero accordo. Certo, se così fosse, potrebbero sorgere dei conflitti di interpretazione tra la Corte e i giudici nazionali in merito alle disposizioni rientranti nella competenza degli Stati membri.</w:t>
      </w:r>
    </w:p>
    <w:p w14:paraId="6B4FD84B" w14:textId="77777777" w:rsidR="002C4301" w:rsidRPr="00067EB0" w:rsidRDefault="002C4301" w:rsidP="002C4301">
      <w:pPr>
        <w:pStyle w:val="Capoverso"/>
      </w:pPr>
      <w:r w:rsidRPr="00067EB0">
        <w:t xml:space="preserve">Nella sentenza </w:t>
      </w:r>
      <w:r w:rsidRPr="00AE6D2D">
        <w:rPr>
          <w:i/>
        </w:rPr>
        <w:t>Hermès</w:t>
      </w:r>
      <w:r w:rsidRPr="006E1027">
        <w:rPr>
          <w:rStyle w:val="Rimandonotaapidipagina"/>
        </w:rPr>
        <w:t> </w:t>
      </w:r>
      <w:r w:rsidRPr="006E1027">
        <w:rPr>
          <w:rStyle w:val="Rimandonotaapidipagina"/>
        </w:rPr>
        <w:footnoteReference w:id="140"/>
      </w:r>
      <w:r w:rsidRPr="00067EB0">
        <w:t xml:space="preserve"> la Corte ha sostenuto di essere competente a pronunciarsi sull’interpretazione dell’accordo TRIPS </w:t>
      </w:r>
      <w:r w:rsidRPr="00AE6D2D">
        <w:rPr>
          <w:i/>
        </w:rPr>
        <w:t>(Trade Related Intellectual Property Rights</w:t>
      </w:r>
      <w:r w:rsidRPr="00067EB0">
        <w:t>), che figura come allegato all’Accordo istitutivo dell’Organizza</w:t>
      </w:r>
      <w:r w:rsidR="008D65FF">
        <w:softHyphen/>
      </w:r>
      <w:r w:rsidRPr="00067EB0">
        <w:t>zione mondiale del Commercio (OMC), concluso con Stati terzi sia dalla Comunità che dagli Stati membri in virtù di una competenza ripartita. Qualora si tratti di disposizioni procedurali contenute nell’accordo TRIPS e applicabili sia a fattispecie disciplinate dal diritto dell’Unione sia a fattispecie disciplinate dal diritto nazionale, l’esigenza di evitare interpretazioni divergenti a seconda della materia riguardata impone infatti che l’uniformità di interpretazione sia affidata in ogni caso alla Corte di giustizia</w:t>
      </w:r>
      <w:r w:rsidRPr="006E1027">
        <w:rPr>
          <w:rStyle w:val="Rimandonotaapidipagina"/>
        </w:rPr>
        <w:t> </w:t>
      </w:r>
      <w:r w:rsidRPr="006E1027">
        <w:rPr>
          <w:rStyle w:val="Rimandonotaapidipagina"/>
        </w:rPr>
        <w:footnoteReference w:id="141"/>
      </w:r>
      <w:r w:rsidRPr="00067EB0">
        <w:t>.</w:t>
      </w:r>
    </w:p>
    <w:p w14:paraId="7129B080" w14:textId="77777777" w:rsidR="002C4301" w:rsidRPr="00067EB0" w:rsidRDefault="002C4301" w:rsidP="002C4301">
      <w:pPr>
        <w:pStyle w:val="Capoverso"/>
      </w:pPr>
      <w:r w:rsidRPr="00067EB0">
        <w:t>La competenza pregiudiziale della Corte si estende inoltre agli accordi conclusi da Stati membri con Stati terzi ma vincolanti l’Unione</w:t>
      </w:r>
      <w:r w:rsidRPr="006E1027">
        <w:rPr>
          <w:rStyle w:val="Rimandonotaapidipagina"/>
        </w:rPr>
        <w:t> </w:t>
      </w:r>
      <w:r w:rsidRPr="006E1027">
        <w:rPr>
          <w:rStyle w:val="Rimandonotaapidipagina"/>
        </w:rPr>
        <w:footnoteReference w:id="142"/>
      </w:r>
      <w:r w:rsidRPr="00067EB0">
        <w:t>, laddove, in virtù di una successiva attribuzione di competenze, si realizzi la “sostituzio</w:t>
      </w:r>
      <w:r w:rsidRPr="00067EB0">
        <w:lastRenderedPageBreak/>
        <w:t>ne” di que</w:t>
      </w:r>
      <w:r w:rsidR="008D65FF">
        <w:softHyphen/>
      </w:r>
      <w:r w:rsidRPr="00067EB0">
        <w:t>st’ultima agli Stati membri. La competenza della Corte resta invece esclusa per gli accordi bilaterali conclusi tra Stati membri anche se riguardanti materie di interesse dell’Unione</w:t>
      </w:r>
      <w:r w:rsidRPr="006E1027">
        <w:rPr>
          <w:rStyle w:val="Rimandonotaapidipagina"/>
        </w:rPr>
        <w:t> </w:t>
      </w:r>
      <w:r w:rsidRPr="006E1027">
        <w:rPr>
          <w:rStyle w:val="Rimandonotaapidipagina"/>
        </w:rPr>
        <w:footnoteReference w:id="143"/>
      </w:r>
      <w:r w:rsidRPr="00067EB0">
        <w:t xml:space="preserve"> e per quelli conclusi fuori del quadro dell’Unione, a meno che una clausola espressa di tali convenzioni non attribuisca alla Corte detta competenza.</w:t>
      </w:r>
    </w:p>
    <w:p w14:paraId="6765170F" w14:textId="77777777" w:rsidR="002C4301" w:rsidRPr="00CD1630" w:rsidRDefault="002C4301" w:rsidP="002C4301">
      <w:pPr>
        <w:pStyle w:val="Sottoparagrafo"/>
        <w:rPr>
          <w:szCs w:val="24"/>
        </w:rPr>
      </w:pPr>
      <w:r w:rsidRPr="002F2A96">
        <w:rPr>
          <w:i w:val="0"/>
          <w:iCs w:val="0"/>
        </w:rPr>
        <w:t>7.1.</w:t>
      </w:r>
      <w:r w:rsidRPr="002F2A96">
        <w:t xml:space="preserve"> </w:t>
      </w:r>
      <w:r w:rsidRPr="00AE6D2D">
        <w:t>Effetti delle sentenze interpretative</w:t>
      </w:r>
    </w:p>
    <w:p w14:paraId="2C327E55" w14:textId="5FCF2FCD" w:rsidR="002C4301" w:rsidRPr="00067EB0" w:rsidRDefault="002C4301" w:rsidP="002C4301">
      <w:pPr>
        <w:pStyle w:val="Capoverso"/>
      </w:pPr>
      <w:r w:rsidRPr="00067EB0">
        <w:t>Le disposizioni del trattato non forniscono chiarimenti in merito agli effetti delle pronunce pregiudiziali. Trattandosi di una sentenza interpretativa, la soluzione raggiunta su una determinata lettura della norma oggetto del quesito può in linea di principio essere rivista e superata da una successiva sentenza della stessa Corte di giustizia, per quanto si tratti di un’ipotesi alquanto rara</w:t>
      </w:r>
      <w:r w:rsidRPr="006E1027">
        <w:rPr>
          <w:rStyle w:val="Rimandonotaapidipagina"/>
        </w:rPr>
        <w:t> </w:t>
      </w:r>
      <w:r w:rsidRPr="006E1027">
        <w:rPr>
          <w:rStyle w:val="Rimandonotaapidipagina"/>
        </w:rPr>
        <w:footnoteReference w:id="144"/>
      </w:r>
      <w:r w:rsidRPr="00067EB0">
        <w:t xml:space="preserve">. Quanto agli effetti negli ordinamenti nazionali, è scontato, a pena di mettere in discussione l’utilità del rinvio e ridurre l’intervento della Corte ad una mera procedura consultiva, che la decisione da essa resa in esito ad una questione pregiudiziale di interpretazione ha portata </w:t>
      </w:r>
      <w:r w:rsidRPr="00AE6D2D">
        <w:rPr>
          <w:i/>
        </w:rPr>
        <w:t>vincolante sul giudice del rinvio</w:t>
      </w:r>
      <w:r w:rsidRPr="006E1027">
        <w:rPr>
          <w:rStyle w:val="Rimandonotaapidipagina"/>
        </w:rPr>
        <w:t> </w:t>
      </w:r>
      <w:r w:rsidRPr="006E1027">
        <w:rPr>
          <w:rStyle w:val="Rimandonotaapidipagina"/>
        </w:rPr>
        <w:footnoteReference w:id="145"/>
      </w:r>
      <w:r w:rsidRPr="00067EB0">
        <w:t xml:space="preserve">. Il loro mancato rispetto può formare oggetto di impugnativa interna o, al limite, configurare gli estremi di una violazione del Trattato rispetto alla quale la Corte potrebbe essere ulteriormente adita con un ricorso per infrazione. Inoltre, non è escluso che la violazione della sentenza possa provocare danni patrimoniali, per il cui ristoro gli interessati possono dar luogo ad un’azione di responsabilità dello Stato dinanzi ai giudici interni ai sensi della citata giurisprudenza </w:t>
      </w:r>
      <w:r w:rsidRPr="00AE6D2D">
        <w:rPr>
          <w:i/>
        </w:rPr>
        <w:t>Francovich</w:t>
      </w:r>
      <w:r w:rsidRPr="00067EB0">
        <w:t>. Tuttavia, il giudice interno potrà operare un nuovo rinvio pregiudiziale qualora incontri difficoltà di comprensione o di applicazione della sentenza resa, se ritenga la risposta inadeguata o incapace di fornirgli gli elementi utili per la soluzione della causa, o se sottoponga nuovi elementi di valutazione: come chiarito dalla Corte di giustizia stessa, l’esistenza di una giurisprudenza consolidata non rende irricevibile una nuova richiesta di interpretazione sulle medesime disposizioni</w:t>
      </w:r>
      <w:r w:rsidRPr="006E1027">
        <w:rPr>
          <w:rStyle w:val="Rimandonotaapidipagina"/>
        </w:rPr>
        <w:t> </w:t>
      </w:r>
      <w:r w:rsidRPr="006E1027">
        <w:rPr>
          <w:rStyle w:val="Rimandonotaapidipagina"/>
        </w:rPr>
        <w:footnoteReference w:id="146"/>
      </w:r>
      <w:r w:rsidRPr="00067EB0">
        <w:t xml:space="preserve">. Di certo, il giudice nazionale, che sia destinatario o meno della sentenza pregiudiziale, non potrà contestare la validità della sentenza già pronunciata. La sentenza pregiudiziale, inoltre, non può formare oggetto dei mezzi straordinari di impugnazione previsti dagli artt. 41-43 Statuto (opposizione del contumace, opposizione di terzo, revisione) e non rientra nel novero degli atti </w:t>
      </w:r>
      <w:r w:rsidRPr="00067EB0">
        <w:lastRenderedPageBreak/>
        <w:t>delle istituzioni di cui la Corte è competente a sindacare la validità</w:t>
      </w:r>
      <w:r w:rsidRPr="006E1027">
        <w:rPr>
          <w:rStyle w:val="Rimandonotaapidipagina"/>
        </w:rPr>
        <w:t> </w:t>
      </w:r>
      <w:r w:rsidRPr="006E1027">
        <w:rPr>
          <w:rStyle w:val="Rimandonotaapidipagina"/>
        </w:rPr>
        <w:footnoteReference w:id="147"/>
      </w:r>
      <w:r w:rsidRPr="00067EB0">
        <w:t>.</w:t>
      </w:r>
    </w:p>
    <w:p w14:paraId="28253B3A" w14:textId="012D5C28" w:rsidR="002C4301" w:rsidRPr="00067EB0" w:rsidRDefault="002C4301" w:rsidP="002C4301">
      <w:pPr>
        <w:pStyle w:val="Capoverso"/>
      </w:pPr>
      <w:r w:rsidRPr="00067EB0">
        <w:t>Le sentenze pregiudiziali di interpretazione vincolano il giudice che ha operato il rinvio ad applicare la norma dell’Unione come interpretata dalla Corte, disapplicando all’occasione la norma interna in contrasto se la prima è dotata di efficacia diretta.</w:t>
      </w:r>
      <w:r w:rsidR="00C15CAA">
        <w:t xml:space="preserve">  Il giudice nazionale non è vincolato da una precedente pronuncia in senso contrario da parte della Corte costituzionale nazionale</w:t>
      </w:r>
      <w:r w:rsidR="00C15CAA">
        <w:rPr>
          <w:rStyle w:val="Rimandonotaapidipagina"/>
        </w:rPr>
        <w:footnoteReference w:id="148"/>
      </w:r>
      <w:r w:rsidR="00937DC6">
        <w:t>.</w:t>
      </w:r>
      <w:r w:rsidR="00C15CAA">
        <w:t xml:space="preserve"> </w:t>
      </w:r>
    </w:p>
    <w:p w14:paraId="375DEA53" w14:textId="0344A73B" w:rsidR="002C4301" w:rsidRPr="00067EB0" w:rsidRDefault="002C4301" w:rsidP="002C4301">
      <w:pPr>
        <w:pStyle w:val="Capoverso"/>
      </w:pPr>
      <w:r w:rsidRPr="00067EB0">
        <w:t xml:space="preserve">L’efficacia delle sentenze interpretative si estende anche al di fuori del giudizio principale (c.d. </w:t>
      </w:r>
      <w:r w:rsidRPr="00AE6D2D">
        <w:rPr>
          <w:i/>
        </w:rPr>
        <w:t>effetti extraprocessuali</w:t>
      </w:r>
      <w:r w:rsidRPr="00067EB0">
        <w:t>). Ciò comporta che altre giurisdizioni nazionali, chiamate a conoscere della stessa questione nei gradi successivi di giudizio, sono tenute ugualmente ad attenersi all’interpretazione della Corte</w:t>
      </w:r>
      <w:r w:rsidRPr="006E1027">
        <w:rPr>
          <w:rStyle w:val="Rimandonotaapidipagina"/>
        </w:rPr>
        <w:t> </w:t>
      </w:r>
      <w:r w:rsidRPr="006E1027">
        <w:rPr>
          <w:rStyle w:val="Rimandonotaapidipagina"/>
        </w:rPr>
        <w:footnoteReference w:id="149"/>
      </w:r>
      <w:r w:rsidRPr="00067EB0">
        <w:t xml:space="preserve">. Lo stesso deve dirsi per le giurisdizioni di tutti gli Stati membri. Se ne ricava dunque che l’autorità riconosciuta alle sentenze interpretative della Corte si avvicina al principio dello </w:t>
      </w:r>
      <w:r w:rsidRPr="00AE6D2D">
        <w:rPr>
          <w:i/>
          <w:iCs/>
        </w:rPr>
        <w:t>stare decisis</w:t>
      </w:r>
      <w:r w:rsidRPr="00067EB0">
        <w:t xml:space="preserve">, o del precedente obbligatorio con efficacia generale che oltrepassa il caso di specie (proprio del diritto anglosassone), nel senso che l’interpretazione fornita integra il contenuto della norma dell’Unione e condiziona la sua applicazione da parte di qualsiasi giudice interno, oltre che a far venire meno l’obbligo del rinvio per i giudici di ultima istanza; si discosta tuttavia da quel principio perché i giudici nazionali diversi da quello che ha operato il rinvio non sono obbligati ad attenersi all’interpretazione già fornita dalla Corte, nel senso che mantengono la facoltà di introdurre a loro volta un ricorso pregiudiziale anche quando verta su questione identica già definita in analoga fattispecie, magari allo scopo di convincere la Corte a modificare la precedente giurisprudenza. </w:t>
      </w:r>
    </w:p>
    <w:p w14:paraId="28F34C38" w14:textId="77777777" w:rsidR="002C4301" w:rsidRPr="00067EB0" w:rsidRDefault="002C4301" w:rsidP="002C4301">
      <w:pPr>
        <w:pStyle w:val="Capoverso"/>
      </w:pPr>
      <w:r w:rsidRPr="00067EB0">
        <w:t xml:space="preserve">Qualora da una sentenza interpretativa risulti la incompatibilità di una norma nazionale con quella dell’Unione, nel senso che quest’ultima, come interpretata dalla Corte “osta” all’applicazione della norma interna in questione, appare evidente che, nel rispetto dell’obbligo di leale collaborazione di cui all’art. 4, par. 3, TUE, lo Stato membro dovrebbe provvedere all’abrogazione ovvero alla modifica della norma interna incompatibile, esponendosi altrimenti ad un procedimento di infrazione e ad un giudizio di responsabilità sulla base della già richiamata giurisprudenza </w:t>
      </w:r>
      <w:r w:rsidRPr="00AE6D2D">
        <w:rPr>
          <w:i/>
        </w:rPr>
        <w:t>Francovich</w:t>
      </w:r>
      <w:r w:rsidRPr="00067EB0">
        <w:t xml:space="preserve">. La Corte costituzionale italiana ha riconosciuto l’effetto diretto delle sentenze interpretative della Corte di giustizia, che devono formare oggetto di immediata applicazione da parte dei giudici comuni: tanto che una sentenza interpretativa emanata successivamente alla proposizione della questione di legittimità costituzionale e riguardante le norme impugnate, costituisce </w:t>
      </w:r>
      <w:r w:rsidRPr="00AE6D2D">
        <w:rPr>
          <w:i/>
          <w:iCs/>
        </w:rPr>
        <w:t>jus superveniens</w:t>
      </w:r>
      <w:r w:rsidRPr="00067EB0">
        <w:t xml:space="preserve"> che </w:t>
      </w:r>
      <w:r w:rsidRPr="00067EB0">
        <w:lastRenderedPageBreak/>
        <w:t>impone la restituzione degli atti al giudice a quo per un nuovo esame della rilevanza</w:t>
      </w:r>
      <w:r w:rsidRPr="006E1027">
        <w:rPr>
          <w:rStyle w:val="Rimandonotaapidipagina"/>
        </w:rPr>
        <w:t> </w:t>
      </w:r>
      <w:r w:rsidRPr="006E1027">
        <w:rPr>
          <w:rStyle w:val="Rimandonotaapidipagina"/>
        </w:rPr>
        <w:footnoteReference w:id="150"/>
      </w:r>
      <w:r w:rsidRPr="00067EB0">
        <w:t>.</w:t>
      </w:r>
    </w:p>
    <w:p w14:paraId="18BFC08F" w14:textId="129B9B2B" w:rsidR="002C4301" w:rsidRPr="00E07EBF" w:rsidRDefault="002C4301" w:rsidP="002C4301">
      <w:pPr>
        <w:pStyle w:val="Capoverso"/>
        <w:rPr>
          <w:spacing w:val="1"/>
        </w:rPr>
      </w:pPr>
      <w:r w:rsidRPr="00067EB0">
        <w:t>In principio, le sentenze pregiudiziali, di interpretazione (o dichiarative di invalidità), hanno effetto retroattivo e si applicano dunque anche a situazioni pregresse sorte anteriormente alla sentenza purché non esaurite</w:t>
      </w:r>
      <w:r w:rsidRPr="006E1027">
        <w:rPr>
          <w:rStyle w:val="Rimandonotaapidipagina"/>
        </w:rPr>
        <w:t> </w:t>
      </w:r>
      <w:r w:rsidRPr="006E1027">
        <w:rPr>
          <w:rStyle w:val="Rimandonotaapidipagina"/>
        </w:rPr>
        <w:footnoteReference w:id="151"/>
      </w:r>
      <w:r w:rsidRPr="00067EB0">
        <w:t>. La sentenza interpretativa chiarisce il significato e la portata di una norma dell’Unione quale deve o avrebbe dovuto essere intesa ed applicata da parte dei giudici interni fin dal momento della sua entrata in vigore, con riguardo, dunque, anche a rapporti giuridici sorti prima della sentenza e anche quando i giudici siano investiti di una questione sostanzialmente identica</w:t>
      </w:r>
      <w:r w:rsidRPr="006E1027">
        <w:rPr>
          <w:rStyle w:val="Rimandonotaapidipagina"/>
        </w:rPr>
        <w:t> </w:t>
      </w:r>
      <w:r w:rsidRPr="006E1027">
        <w:rPr>
          <w:rStyle w:val="Rimandonotaapidipagina"/>
        </w:rPr>
        <w:footnoteReference w:id="152"/>
      </w:r>
      <w:r w:rsidRPr="00067EB0">
        <w:t xml:space="preserve">, pur conservando essi, come già detto, la facoltà di adire nuovamente la Corte. Tuttavia, essa ha affermato nel caso </w:t>
      </w:r>
      <w:r w:rsidRPr="00AE6D2D">
        <w:rPr>
          <w:i/>
        </w:rPr>
        <w:t>Defrenne</w:t>
      </w:r>
      <w:r w:rsidRPr="00067EB0">
        <w:t xml:space="preserve"> che, in applicazione del principio generale di certezza del diritto e in considerazione dei gravi turbamenti che la sua decisione avrebbe potuto arrecare per i rapporti giuridici instaurati in buona fede, essa può decidere, in via eccezionale, di limitare la possibilità per gli interessati di invocare le disposizioni dell’Unione come da lei interpretate al fine di rivedere tali posizioni giuridiche e che comunque spetta solo alla Corte stessa decidere le limitazioni temporali da apportare alla sua interpretazione. Si tratta di una giurisprudenza poi più volte confermata, con l’ulteriore precisazione che gli effetti </w:t>
      </w:r>
      <w:r w:rsidRPr="00AE6D2D">
        <w:rPr>
          <w:i/>
        </w:rPr>
        <w:t>ex nunc</w:t>
      </w:r>
      <w:r w:rsidRPr="00067EB0">
        <w:t xml:space="preserve"> della sentenza possono essere decisi quando il comportamento non conforme all’atto normativo derivato sia causato da una obiettiva situazione di incertezza e di ambiguità circa </w:t>
      </w:r>
      <w:r w:rsidRPr="00E07EBF">
        <w:rPr>
          <w:spacing w:val="1"/>
        </w:rPr>
        <w:t>la corretta applicazione del diritto dell’Unio</w:t>
      </w:r>
      <w:r w:rsidR="008D65FF" w:rsidRPr="00E07EBF">
        <w:rPr>
          <w:spacing w:val="1"/>
        </w:rPr>
        <w:softHyphen/>
      </w:r>
      <w:r w:rsidRPr="00E07EBF">
        <w:rPr>
          <w:spacing w:val="1"/>
        </w:rPr>
        <w:t>ne</w:t>
      </w:r>
      <w:r w:rsidRPr="00E07EBF">
        <w:rPr>
          <w:rStyle w:val="Rimandonotaapidipagina"/>
          <w:spacing w:val="1"/>
        </w:rPr>
        <w:t> </w:t>
      </w:r>
      <w:r w:rsidRPr="00E07EBF">
        <w:rPr>
          <w:rStyle w:val="Rimandonotaapidipagina"/>
          <w:spacing w:val="1"/>
        </w:rPr>
        <w:footnoteReference w:id="153"/>
      </w:r>
      <w:r w:rsidRPr="00E07EBF">
        <w:rPr>
          <w:spacing w:val="1"/>
        </w:rPr>
        <w:t>, e che la limitazione degli effetti temporali possa essere ammessa esclusivamente nella sentenza che statuisce sull’interpretazione richiesta, e non in circostanze diverse come in occasione di una sentenza che accerti l’inadempimento di uno Stato membro</w:t>
      </w:r>
      <w:r w:rsidRPr="00E07EBF">
        <w:rPr>
          <w:rStyle w:val="Rimandonotaapidipagina"/>
          <w:spacing w:val="1"/>
        </w:rPr>
        <w:t> </w:t>
      </w:r>
      <w:r w:rsidRPr="00E07EBF">
        <w:rPr>
          <w:rStyle w:val="Rimandonotaapidipagina"/>
          <w:spacing w:val="1"/>
        </w:rPr>
        <w:footnoteReference w:id="154"/>
      </w:r>
      <w:r w:rsidRPr="00E07EBF">
        <w:rPr>
          <w:spacing w:val="1"/>
        </w:rPr>
        <w:t>. Inoltre, la Corte ha introdotto una eccezione all’ecce</w:t>
      </w:r>
      <w:r w:rsidR="008D65FF" w:rsidRPr="00E07EBF">
        <w:rPr>
          <w:spacing w:val="1"/>
        </w:rPr>
        <w:softHyphen/>
      </w:r>
      <w:r w:rsidRPr="00E07EBF">
        <w:rPr>
          <w:spacing w:val="1"/>
        </w:rPr>
        <w:t>zione, mantenendo l’effet</w:t>
      </w:r>
      <w:r w:rsidR="00E07EBF">
        <w:rPr>
          <w:spacing w:val="1"/>
        </w:rPr>
        <w:softHyphen/>
      </w:r>
      <w:r w:rsidRPr="00E07EBF">
        <w:rPr>
          <w:spacing w:val="1"/>
        </w:rPr>
        <w:t xml:space="preserve">to </w:t>
      </w:r>
      <w:r w:rsidRPr="00E07EBF">
        <w:rPr>
          <w:i/>
          <w:spacing w:val="1"/>
        </w:rPr>
        <w:t>ex tunc</w:t>
      </w:r>
      <w:r w:rsidRPr="00E07EBF">
        <w:rPr>
          <w:spacing w:val="1"/>
        </w:rPr>
        <w:t xml:space="preserve"> della sentenza a favore dei soggetti che avessero già esperito un’azio</w:t>
      </w:r>
      <w:r w:rsidR="00E07EBF">
        <w:rPr>
          <w:spacing w:val="1"/>
        </w:rPr>
        <w:softHyphen/>
      </w:r>
      <w:r w:rsidRPr="00E07EBF">
        <w:rPr>
          <w:spacing w:val="1"/>
        </w:rPr>
        <w:t>ne giurisdizionale, o proposto un ricorso equivalente, prima della data della sentenza stessa</w:t>
      </w:r>
      <w:r w:rsidRPr="00E07EBF">
        <w:rPr>
          <w:rStyle w:val="Rimandonotaapidipagina"/>
          <w:spacing w:val="1"/>
        </w:rPr>
        <w:t> </w:t>
      </w:r>
      <w:r w:rsidRPr="00E07EBF">
        <w:rPr>
          <w:rStyle w:val="Rimandonotaapidipagina"/>
          <w:spacing w:val="1"/>
        </w:rPr>
        <w:footnoteReference w:id="155"/>
      </w:r>
      <w:r w:rsidRPr="00E07EBF">
        <w:rPr>
          <w:spacing w:val="1"/>
        </w:rPr>
        <w:t>.</w:t>
      </w:r>
    </w:p>
    <w:p w14:paraId="0F4AFAFB" w14:textId="769C7511" w:rsidR="002C4301" w:rsidRPr="00067EB0" w:rsidRDefault="002C4301" w:rsidP="002C4301">
      <w:pPr>
        <w:pStyle w:val="Capoverso"/>
      </w:pPr>
      <w:r w:rsidRPr="00067EB0">
        <w:t>Sempre in tema di effetti delle sentenze pregiudiziali, è infine utile precisare che la decisione della Corte impone a un organo nazionale di riesaminare una decisione amministrativa, anche se definitiva, per tener conto dell’interpreta</w:t>
      </w:r>
      <w:r w:rsidR="008D65FF">
        <w:softHyphen/>
      </w:r>
      <w:r w:rsidRPr="00067EB0">
        <w:t xml:space="preserve">zione </w:t>
      </w:r>
      <w:r w:rsidR="00C15CAA">
        <w:t xml:space="preserve">del diritto dell’Unione </w:t>
      </w:r>
      <w:r w:rsidRPr="00067EB0">
        <w:t>nel frattempo accolta dalla Corte, sempre che l’au</w:t>
      </w:r>
      <w:r w:rsidR="00E07EBF">
        <w:softHyphen/>
      </w:r>
      <w:r w:rsidRPr="00067EB0">
        <w:t>torità amministrativa disponga del potere di ritornare su tale decisione secondo il diritto nazionale e sempre che la Corte non fosse stata adita a suo tempo a titolo pregiudiziale</w:t>
      </w:r>
      <w:r w:rsidRPr="006E1027">
        <w:rPr>
          <w:rStyle w:val="Rimandonotaapidipagina"/>
        </w:rPr>
        <w:t> </w:t>
      </w:r>
      <w:r w:rsidRPr="006E1027">
        <w:rPr>
          <w:rStyle w:val="Rimandonotaapidipagina"/>
        </w:rPr>
        <w:footnoteReference w:id="156"/>
      </w:r>
      <w:r w:rsidRPr="00067EB0">
        <w:t>.</w:t>
      </w:r>
    </w:p>
    <w:p w14:paraId="4A8B182B" w14:textId="77777777" w:rsidR="002C4301" w:rsidRPr="00CD1630" w:rsidRDefault="002C4301" w:rsidP="002C4301">
      <w:pPr>
        <w:pStyle w:val="Sottoparagrafo"/>
        <w:rPr>
          <w:szCs w:val="24"/>
        </w:rPr>
      </w:pPr>
      <w:r w:rsidRPr="002F2A96">
        <w:rPr>
          <w:i w:val="0"/>
          <w:iCs w:val="0"/>
        </w:rPr>
        <w:t>7.2.</w:t>
      </w:r>
      <w:r w:rsidRPr="002F2A96">
        <w:t xml:space="preserve"> </w:t>
      </w:r>
      <w:r w:rsidRPr="00AE6D2D">
        <w:t>Oggetto del rinvio pregiudiziale di validità, suoi rapporti con il ricorso per annullamento ed effetti delle sentenze della Corte</w:t>
      </w:r>
    </w:p>
    <w:p w14:paraId="552B112C" w14:textId="77777777" w:rsidR="002C4301" w:rsidRPr="00067EB0" w:rsidRDefault="002C4301" w:rsidP="002C4301">
      <w:pPr>
        <w:pStyle w:val="Capoverso"/>
        <w:rPr>
          <w:rFonts w:eastAsia="SimonciniGaramondStd" w:cs="SimonciniGaramondStd"/>
        </w:rPr>
      </w:pPr>
      <w:r w:rsidRPr="00067EB0">
        <w:t xml:space="preserve">In base all’art. 267, primo comma, lett. </w:t>
      </w:r>
      <w:r w:rsidRPr="00AE6D2D">
        <w:rPr>
          <w:i/>
        </w:rPr>
        <w:t>b</w:t>
      </w:r>
      <w:r w:rsidRPr="00067EB0">
        <w:t>), TFUE le questioni pregiudiziali di validità possono avere ad oggetto gli atti adottati dalle istituzioni, dagli organi o dagli organismi dell’Unione. Restano ovviamente escluse le norme del trattato le quali, collocandosi in posizione apicale nella gerarchia delle fonti dell’Unione, non possono essere messe in discussione di fronte alla Corte, rappresentando anzi il principale parametro di legittimità degli atti di diritto derivato.</w:t>
      </w:r>
    </w:p>
    <w:p w14:paraId="703E9FDF" w14:textId="77777777" w:rsidR="00C15CAA" w:rsidRPr="00E07EBF" w:rsidRDefault="002C4301" w:rsidP="002C4301">
      <w:pPr>
        <w:pStyle w:val="Capoverso"/>
        <w:rPr>
          <w:rFonts w:eastAsia="SimonciniGaramondStd" w:cs="SimonciniGaramondStd"/>
          <w:spacing w:val="1"/>
        </w:rPr>
      </w:pPr>
      <w:r w:rsidRPr="00E07EBF">
        <w:rPr>
          <w:rFonts w:eastAsia="SimonciniGaramondStd" w:cs="SimonciniGaramondStd"/>
          <w:spacing w:val="1"/>
        </w:rPr>
        <w:t xml:space="preserve">Rispetto agli atti adottati nel contesto della PESC che prevedono misure restrittive nei confronti di persone fisiche e giuridiche, la Corte ha interpretato gli artt. 24 TUE e 275 TFUE – che sembrano consentire un controllo di legittimità soltanto attraverso il ricorso in annullamento </w:t>
      </w:r>
      <w:r w:rsidRPr="00E07EBF">
        <w:rPr>
          <w:rFonts w:eastAsia="SimonciniGaramondStd" w:cs="SimonciniGaramondStd"/>
          <w:i/>
          <w:iCs/>
          <w:spacing w:val="1"/>
        </w:rPr>
        <w:t>ex</w:t>
      </w:r>
      <w:r w:rsidRPr="00E07EBF">
        <w:rPr>
          <w:rFonts w:eastAsia="SimonciniGaramondStd" w:cs="SimonciniGaramondStd"/>
          <w:spacing w:val="1"/>
        </w:rPr>
        <w:t xml:space="preserve"> art. 263, par. 4 – nel senso di estendere il medesimo controllo anche per mezzo del rinvio pregiudiziale di validità</w:t>
      </w:r>
      <w:r w:rsidRPr="00E07EBF">
        <w:rPr>
          <w:rStyle w:val="Rimandonotaapidipagina"/>
          <w:rFonts w:eastAsia="SimonciniGaramondStd" w:cs="SimonciniGaramondStd"/>
          <w:spacing w:val="1"/>
        </w:rPr>
        <w:t> </w:t>
      </w:r>
      <w:r w:rsidRPr="00E07EBF">
        <w:rPr>
          <w:rStyle w:val="Rimandonotaapidipagina"/>
          <w:rFonts w:eastAsia="SimonciniGaramondStd" w:cs="SimonciniGaramondStd"/>
          <w:spacing w:val="1"/>
        </w:rPr>
        <w:footnoteReference w:id="157"/>
      </w:r>
      <w:r w:rsidRPr="00E07EBF">
        <w:rPr>
          <w:rFonts w:eastAsia="SimonciniGaramondStd" w:cs="SimonciniGaramondStd"/>
          <w:spacing w:val="1"/>
        </w:rPr>
        <w:t xml:space="preserve">. La Corte ha fondato questa interpretazione estensiva sulla base dei principi generali dello Stato di diritto e della protezione giurisdizionale effettiva. </w:t>
      </w:r>
    </w:p>
    <w:p w14:paraId="2D881484" w14:textId="77777777" w:rsidR="002C4301" w:rsidRPr="00067EB0" w:rsidRDefault="002C4301" w:rsidP="002C4301">
      <w:pPr>
        <w:pStyle w:val="Capoverso"/>
      </w:pPr>
      <w:r w:rsidRPr="00067EB0">
        <w:t>Restano inoltre escluse dal giudizio pregiudiziale di validità le sentenze della Corte di giustizia. Sebbene queste siano, a stretto rigore, atti compiuti da un’isti</w:t>
      </w:r>
      <w:r w:rsidR="000870B9">
        <w:softHyphen/>
      </w:r>
      <w:r w:rsidRPr="00067EB0">
        <w:t>tuzione, l’accoglimento della soluzione opposta consentirebbe una sorta di giudizio di secondo grado atipico sulle sentenze della Corte, sollevato su impulso di una giurisdizione nazionale. Ciò, oltre ad essere contrario al sistema comunitario dei ricorsi, rimetterebbe in discussione, secondo i giudici di Lussemburgo, la ripartizione di competenze tra la Corte ed i giudici nazionali ai sensi dell’art. 267 TFUE</w:t>
      </w:r>
      <w:r w:rsidRPr="006E1027">
        <w:rPr>
          <w:rStyle w:val="Rimandonotaapidipagina"/>
        </w:rPr>
        <w:t> </w:t>
      </w:r>
      <w:r w:rsidRPr="006E1027">
        <w:rPr>
          <w:rStyle w:val="Rimandonotaapidipagina"/>
        </w:rPr>
        <w:footnoteReference w:id="158"/>
      </w:r>
      <w:r w:rsidRPr="00067EB0">
        <w:t>.</w:t>
      </w:r>
    </w:p>
    <w:p w14:paraId="5887D203" w14:textId="7E1AE950" w:rsidR="002C4301" w:rsidRPr="00067EB0" w:rsidRDefault="002C4301" w:rsidP="002C4301">
      <w:pPr>
        <w:pStyle w:val="Capoverso"/>
      </w:pPr>
      <w:r w:rsidRPr="00067EB0">
        <w:t>Si pone il problema di stabilire se gli accordi internazionali stipulati dal</w:t>
      </w:r>
      <w:r w:rsidR="000870B9">
        <w:softHyphen/>
      </w:r>
      <w:r w:rsidRPr="00067EB0">
        <w:t xml:space="preserve">l’Unione possano essere oggetto di un rinvio pregiudiziale di validità. Milita in favore della soluzione positiva il fatto che la Corte abbia affermato la propria competenza pregiudiziale ad interpretare tali accordi considerandoli atti delle istituzioni </w:t>
      </w:r>
      <w:r w:rsidRPr="00AE6D2D">
        <w:rPr>
          <w:i/>
        </w:rPr>
        <w:t>ex</w:t>
      </w:r>
      <w:r w:rsidRPr="00067EB0">
        <w:t xml:space="preserve"> art. 267 TFUE, par. 1, lett. </w:t>
      </w:r>
      <w:r w:rsidRPr="00AE6D2D">
        <w:rPr>
          <w:i/>
        </w:rPr>
        <w:t>b</w:t>
      </w:r>
      <w:r w:rsidRPr="00067EB0">
        <w:t xml:space="preserve">). Orbene, appare il caso di rammentare che la disposizione da ultimo citata si riferisce sia al rinvio pregiudiziale di interpretazione sia a quello di validità. La Corte, quindi, difficilmente può affermare la propria competenza per il primo tipo di rinvio e negarla per il secondo. D’altra parte, la qualificazione dell’accordo come atto delle istituzioni appare come una semplificazione volta alla ricerca di un fondamento per la competenza ad interpretare. Ma, come è stato esattamente osservato, </w:t>
      </w:r>
      <w:r w:rsidR="009F5584">
        <w:t xml:space="preserve">In realtà, </w:t>
      </w:r>
      <w:r w:rsidRPr="00067EB0">
        <w:t>essendo l’accordo imputabile anche ad altri soggetti di diritto internazionale</w:t>
      </w:r>
      <w:r w:rsidR="009F5584">
        <w:t>, l</w:t>
      </w:r>
      <w:r w:rsidRPr="00067EB0">
        <w:t>’apprez</w:t>
      </w:r>
      <w:r w:rsidR="000870B9">
        <w:softHyphen/>
      </w:r>
      <w:r w:rsidRPr="00067EB0">
        <w:t>zamento circa la validità riguarda non l’accordo stesso, ma l’atto (regolamento o decisione) mediante il quale l’accordo è stato approvato. Una simile dichiarazione di invalidità comport</w:t>
      </w:r>
      <w:r w:rsidR="009F5584">
        <w:t>a</w:t>
      </w:r>
      <w:r w:rsidRPr="00067EB0">
        <w:t xml:space="preserve"> l’inapplicabilità dell’ac</w:t>
      </w:r>
      <w:r w:rsidR="000870B9">
        <w:softHyphen/>
      </w:r>
      <w:r w:rsidRPr="00067EB0">
        <w:t>cordo nell’ordinamento giuridico dell’Unione</w:t>
      </w:r>
      <w:r w:rsidR="009F5584">
        <w:t>,</w:t>
      </w:r>
      <w:r w:rsidRPr="00067EB0">
        <w:t xml:space="preserve"> con la conseguenza che l’Unione potrebbe venir meno ad obblighi assunti nei confronti di altri soggetti. I possibili profili di responsabilità internazionale dell’Unione, tuttavia, non paiono costituire un ostacolo tale da limitare la competenza della Corte. Essa, nella sentenza </w:t>
      </w:r>
      <w:r w:rsidRPr="00AE6D2D">
        <w:rPr>
          <w:i/>
        </w:rPr>
        <w:t>Francia c. Commissione</w:t>
      </w:r>
      <w:r w:rsidRPr="00067EB0">
        <w:t>, originante da un’azione di annullamento, non ha esitato a dichiarare nullo l’atto con cui la Commissione ha inteso concludere l’accordo con gli Stati Uniti d’America, in merito all’applicazione del diritto della concorrenza delle Comunità europee e di quello degli Stati Uniti</w:t>
      </w:r>
      <w:r w:rsidRPr="006E1027">
        <w:rPr>
          <w:rStyle w:val="Rimandonotaapidipagina"/>
        </w:rPr>
        <w:t> </w:t>
      </w:r>
      <w:r w:rsidRPr="006E1027">
        <w:rPr>
          <w:rStyle w:val="Rimandonotaapidipagina"/>
        </w:rPr>
        <w:footnoteReference w:id="159"/>
      </w:r>
      <w:r w:rsidRPr="00067EB0">
        <w:t>. In tale sentenza la Corte ha affermato che «l’esercizio delle competenze devolute alle istituzioni della Comunità nel campo internazionale non può essere sottratto al controllo giurisdizionale di legittimità previsto dall’art. 173 [oggi art. 263] del Trattato»</w:t>
      </w:r>
      <w:r w:rsidRPr="006E1027">
        <w:rPr>
          <w:rStyle w:val="Rimandonotaapidipagina"/>
        </w:rPr>
        <w:t> </w:t>
      </w:r>
      <w:r w:rsidRPr="006E1027">
        <w:rPr>
          <w:rStyle w:val="Rimandonotaapidipagina"/>
        </w:rPr>
        <w:footnoteReference w:id="160"/>
      </w:r>
      <w:r w:rsidRPr="00067EB0">
        <w:t>.</w:t>
      </w:r>
    </w:p>
    <w:p w14:paraId="6D90908F" w14:textId="4B5A01C2" w:rsidR="002C4301" w:rsidRPr="00067EB0" w:rsidRDefault="002C4301" w:rsidP="002C4301">
      <w:pPr>
        <w:pStyle w:val="Capoverso"/>
      </w:pPr>
      <w:r w:rsidRPr="00067EB0">
        <w:t>La considerazione ora riportata può indubbiamente applicarsi al controllo di legittimità che avviene attraverso il rinvio pregiudiziale di validità. Le due azioni, secondo una giurisprudenza costante, sono infatti nient’altro che diverse forme di uno stesso sistema di controllo giurisdizionale</w:t>
      </w:r>
      <w:r w:rsidRPr="006E1027">
        <w:rPr>
          <w:rStyle w:val="Rimandonotaapidipagina"/>
        </w:rPr>
        <w:t> </w:t>
      </w:r>
      <w:r w:rsidRPr="006E1027">
        <w:rPr>
          <w:rStyle w:val="Rimandonotaapidipagina"/>
        </w:rPr>
        <w:footnoteReference w:id="161"/>
      </w:r>
      <w:r w:rsidRPr="00067EB0">
        <w:t xml:space="preserve">. Anzi, dalla formulazione dell’art. 267 la competenza della Corte pare più ampia rispetto a quella di cui essa gode nell’ambito dell’azione di annullamento </w:t>
      </w:r>
      <w:r w:rsidRPr="00AE6D2D">
        <w:rPr>
          <w:i/>
        </w:rPr>
        <w:t>ex</w:t>
      </w:r>
      <w:r w:rsidRPr="00067EB0">
        <w:t xml:space="preserve"> art. 263. Quest’ultima disposizione limita, infatti, il controllo di legittimità della Corte agli atti che non siano raccomandazioni o pareri, vale a dire agli atti che abbiano portata vincolante. L’art. 267, primo comma, lett. </w:t>
      </w:r>
      <w:r w:rsidRPr="00AE6D2D">
        <w:rPr>
          <w:i/>
        </w:rPr>
        <w:t>b</w:t>
      </w:r>
      <w:r w:rsidRPr="00067EB0">
        <w:t>), fa invece un generico riferimento agli atti delle istituzioni, senza operare alcuna distinzione tra atti che abbiano o meno portata vincolante. Pertanto, sono ricevibili anche questioni pregiudiziali aventi ad oggetto la validità di atti di quest’ultimo tipo</w:t>
      </w:r>
      <w:r w:rsidR="009F5584">
        <w:t>, come ad esempio delle raccomandazioni della Commissione</w:t>
      </w:r>
      <w:r w:rsidR="009F5584">
        <w:rPr>
          <w:rStyle w:val="Rimandonotaapidipagina"/>
        </w:rPr>
        <w:footnoteReference w:id="162"/>
      </w:r>
      <w:r w:rsidRPr="00067EB0">
        <w:t>.</w:t>
      </w:r>
    </w:p>
    <w:p w14:paraId="5E06A520" w14:textId="38163EDC" w:rsidR="002C4301" w:rsidRPr="007574F4" w:rsidRDefault="002C4301" w:rsidP="002C4301">
      <w:pPr>
        <w:pStyle w:val="Capoverso"/>
        <w:rPr>
          <w:spacing w:val="-3"/>
        </w:rPr>
      </w:pPr>
      <w:r w:rsidRPr="007574F4">
        <w:rPr>
          <w:spacing w:val="-3"/>
        </w:rPr>
        <w:t xml:space="preserve">Sebbene l’art. 267 </w:t>
      </w:r>
      <w:r w:rsidR="000A30EA" w:rsidRPr="007574F4">
        <w:rPr>
          <w:spacing w:val="-3"/>
        </w:rPr>
        <w:t xml:space="preserve">TFUE </w:t>
      </w:r>
      <w:r w:rsidRPr="007574F4">
        <w:rPr>
          <w:spacing w:val="-3"/>
        </w:rPr>
        <w:t xml:space="preserve">faccia riferimento al concetto di “validità”, mentre l’art. 263 </w:t>
      </w:r>
      <w:r w:rsidR="000A30EA" w:rsidRPr="007574F4">
        <w:rPr>
          <w:spacing w:val="-3"/>
        </w:rPr>
        <w:t xml:space="preserve">TFUE </w:t>
      </w:r>
      <w:r w:rsidRPr="007574F4">
        <w:rPr>
          <w:spacing w:val="-3"/>
        </w:rPr>
        <w:t>si riferisce alla “legittimità”, è pacifico che le due nozioni siano da intendersi come coincidenti. I vizi che possono essere riscontrati dalla Corte in un giudizio pregiudiziale di validità sono dunque gli stessi di cui all’art. 263 TFUE. Vero è che, mancando nell’art. 267 TFUE un’elencazione tassativa, «non viene posto alcun limite per quanto riguarda le cause dell’asserita invalidità»</w:t>
      </w:r>
      <w:r w:rsidRPr="007574F4">
        <w:rPr>
          <w:rStyle w:val="Rimandonotaapidipagina"/>
          <w:spacing w:val="-3"/>
        </w:rPr>
        <w:t> </w:t>
      </w:r>
      <w:r w:rsidRPr="007574F4">
        <w:rPr>
          <w:rStyle w:val="Rimandonotaapidipagina"/>
          <w:spacing w:val="-3"/>
        </w:rPr>
        <w:footnoteReference w:id="163"/>
      </w:r>
      <w:r w:rsidRPr="007574F4">
        <w:rPr>
          <w:spacing w:val="-3"/>
        </w:rPr>
        <w:t>. Tuttavia, i vizi dedotti dalle giurisdizioni del rinvio, pur se espressi con una terminologia differente, sono in ogni caso riconducibili alle categorie di cui all’art. 263 TFUE.</w:t>
      </w:r>
    </w:p>
    <w:p w14:paraId="3FF99B1C" w14:textId="77777777" w:rsidR="002C4301" w:rsidRPr="00067EB0" w:rsidRDefault="002C4301" w:rsidP="002C4301">
      <w:pPr>
        <w:pStyle w:val="Capoverso"/>
      </w:pPr>
      <w:r w:rsidRPr="00067EB0">
        <w:t>Le principali differenze con l’azione di annullamento non riguardano dunque il contenuto del giudizio, ma le sue forme processuali. Il rinvio pregiudiziale di validità, infatti, non è soggetto ad alcun limite temporale ed è proposto da un giudice al fine di risolvere una controversia dinanzi ad esso pendente.</w:t>
      </w:r>
    </w:p>
    <w:p w14:paraId="65C05CE2" w14:textId="6975953A" w:rsidR="002C4301" w:rsidRPr="00067EB0" w:rsidRDefault="002C4301" w:rsidP="002C4301">
      <w:pPr>
        <w:pStyle w:val="Capoverso"/>
      </w:pPr>
      <w:r w:rsidRPr="00067EB0">
        <w:t>Proprio al fine di evitare che soggetti legittimati ad impugnare un atto utilizzino il rinvio pregiudiziale di validità per aggirare i termini di impugnazione disposti dall’art. 263 TFUE, la Corte ha affermato che una decisione adottata dalle istituzioni dell’Unione che non sia stata impugnata dal sostanziale destinatario entro il termine stabilito dall’art. 263, quinto comma, TFUE diviene definitiva nei suoi confronti. Pertanto, il destinatario (o comunque il soggetto direttamente ed individualmente riguardato, a termini dell’art. 263, quarto comma, TFUE) che abbia omesso di impugnare nel termine prescritto una determinata decisione non può successivamente metterne in discussione la legittimità di fronte al giudice nazionale</w:t>
      </w:r>
      <w:r w:rsidR="009F5584">
        <w:t>, con la conseguenza che i quesiti pregiudiziali sollevati da que</w:t>
      </w:r>
      <w:r w:rsidR="007574F4">
        <w:softHyphen/>
      </w:r>
      <w:r w:rsidR="009F5584">
        <w:t>st’ultimo sarebbero irricevi</w:t>
      </w:r>
      <w:r w:rsidR="000A30EA">
        <w:t>b</w:t>
      </w:r>
      <w:r w:rsidR="009F5584">
        <w:t>ili</w:t>
      </w:r>
      <w:r w:rsidRPr="006E1027">
        <w:rPr>
          <w:rStyle w:val="Rimandonotaapidipagina"/>
        </w:rPr>
        <w:t> </w:t>
      </w:r>
      <w:r w:rsidRPr="006E1027">
        <w:rPr>
          <w:rStyle w:val="Rimandonotaapidipagina"/>
        </w:rPr>
        <w:footnoteReference w:id="164"/>
      </w:r>
      <w:r w:rsidRPr="00067EB0">
        <w:t>. Ammettere la soluzione contraria equivarrebbe, secondo la Corte, a riconoscere al destinatario della decisione la possibilità di eludere il carattere definitivo che, in forza del principio della certezza del diritto, deve essere attribuito ad una decisione dopo la scadenza del termine di impugnazione di cui all’art. 263.</w:t>
      </w:r>
    </w:p>
    <w:p w14:paraId="1FB83088" w14:textId="1F0C337C" w:rsidR="002C4301" w:rsidRPr="00067EB0" w:rsidRDefault="002C4301" w:rsidP="002C4301">
      <w:pPr>
        <w:pStyle w:val="Capoverso"/>
      </w:pPr>
      <w:r w:rsidRPr="00067EB0">
        <w:t>Lo stesso principio è stato esteso, con una decisione controversa (</w:t>
      </w:r>
      <w:r w:rsidRPr="00AE6D2D">
        <w:rPr>
          <w:i/>
        </w:rPr>
        <w:t>TWD</w:t>
      </w:r>
      <w:r w:rsidRPr="00067EB0">
        <w:t xml:space="preserve"> </w:t>
      </w:r>
      <w:r w:rsidRPr="00AE6D2D">
        <w:rPr>
          <w:i/>
        </w:rPr>
        <w:t>Textilwerke Deggendorf</w:t>
      </w:r>
      <w:r w:rsidRPr="00067EB0">
        <w:t>), anche alle decisioni rivolte ad altre persone, come nel caso delle decisioni della Commissione in materia di aiuti di Stato, per definizione rivolte solo agli Stati membri, che in ogni caso avrebbero potuto essere “</w:t>
      </w:r>
      <w:r w:rsidR="009F5584">
        <w:t>senza alcun dubbio</w:t>
      </w:r>
      <w:r w:rsidRPr="00067EB0">
        <w:t>” impugnate dall’impresa beneficiaria dell’aiuto</w:t>
      </w:r>
      <w:r w:rsidRPr="006E1027">
        <w:rPr>
          <w:rStyle w:val="Rimandonotaapidipagina"/>
        </w:rPr>
        <w:t> </w:t>
      </w:r>
      <w:r w:rsidRPr="006E1027">
        <w:rPr>
          <w:rStyle w:val="Rimandonotaapidipagina"/>
        </w:rPr>
        <w:footnoteReference w:id="165"/>
      </w:r>
      <w:r w:rsidRPr="00067EB0">
        <w:t xml:space="preserve">. La medesima soluzione è stata raggiunta anche rispetto ad un regolamento che istituiva un dazio </w:t>
      </w:r>
      <w:r w:rsidRPr="00AE6D2D">
        <w:rPr>
          <w:i/>
        </w:rPr>
        <w:t>antidumping</w:t>
      </w:r>
      <w:r w:rsidRPr="00067EB0">
        <w:t>, del quale il privato avrebbe “senza alcun dubbio” potuto chiedere l’annullamento nella parte in cui conteneva disposizioni che lo riguardavano direttamente ed individualmente</w:t>
      </w:r>
      <w:r w:rsidRPr="006E1027">
        <w:rPr>
          <w:rStyle w:val="Rimandonotaapidipagina"/>
        </w:rPr>
        <w:t> </w:t>
      </w:r>
      <w:r w:rsidRPr="006E1027">
        <w:rPr>
          <w:rStyle w:val="Rimandonotaapidipagina"/>
        </w:rPr>
        <w:footnoteReference w:id="166"/>
      </w:r>
      <w:r w:rsidRPr="00067EB0">
        <w:t>.</w:t>
      </w:r>
    </w:p>
    <w:p w14:paraId="782A907E" w14:textId="136AA38C" w:rsidR="002C4301" w:rsidRPr="007574F4" w:rsidRDefault="002C4301" w:rsidP="002C4301">
      <w:pPr>
        <w:pStyle w:val="Capoverso"/>
        <w:rPr>
          <w:spacing w:val="-2"/>
        </w:rPr>
      </w:pPr>
      <w:r w:rsidRPr="007574F4">
        <w:rPr>
          <w:spacing w:val="-2"/>
        </w:rPr>
        <w:t xml:space="preserve">La giurisprudenza ora riportata suscita perplessità in quanto richiede al soggetto interessato di effettuare una valutazione – tutt’altro che agevole – sulla possibilità o meno di essere “direttamente ed individualmente” interessato dalla disposizione in questione. Può tuttavia registrarsi in proposito una maggiore flessibilità da parte della Corte: richiesta di pronunciarsi in via pregiudiziale sulla questione se una persona fisica o giuridica possa far valere, dinanzi a un giudice nazionale, l’invalidità di disposizioni contenute in una direttiva qualora non abbia presentato un ricorso per annullamento </w:t>
      </w:r>
      <w:r w:rsidRPr="007574F4">
        <w:rPr>
          <w:i/>
          <w:spacing w:val="-2"/>
        </w:rPr>
        <w:t>ex</w:t>
      </w:r>
      <w:r w:rsidRPr="007574F4">
        <w:rPr>
          <w:spacing w:val="-2"/>
        </w:rPr>
        <w:t xml:space="preserve"> art. 263, la Corte ha risposto in senso affermativo</w:t>
      </w:r>
      <w:r w:rsidRPr="007574F4">
        <w:rPr>
          <w:rStyle w:val="Rimandonotaapidipagina"/>
          <w:spacing w:val="-2"/>
        </w:rPr>
        <w:t> </w:t>
      </w:r>
      <w:r w:rsidRPr="007574F4">
        <w:rPr>
          <w:rStyle w:val="Rimandonotaapidipagina"/>
          <w:spacing w:val="-2"/>
        </w:rPr>
        <w:footnoteReference w:id="167"/>
      </w:r>
      <w:r w:rsidRPr="007574F4">
        <w:rPr>
          <w:spacing w:val="-2"/>
        </w:rPr>
        <w:t>, anche in considerazione del fatto che un ricorso di tal fatta da parte di un singolo contro una direttiva probabilmente non sarebbe stato considerato ricevibile</w:t>
      </w:r>
      <w:r w:rsidR="004A50CC" w:rsidRPr="007574F4">
        <w:rPr>
          <w:spacing w:val="-2"/>
        </w:rPr>
        <w:t>. Anche ulteriori pronunce della Cote vanno in questa direzione</w:t>
      </w:r>
      <w:r w:rsidRPr="007574F4">
        <w:rPr>
          <w:rStyle w:val="Rimandonotaapidipagina"/>
          <w:spacing w:val="-2"/>
        </w:rPr>
        <w:t> </w:t>
      </w:r>
      <w:r w:rsidRPr="007574F4">
        <w:rPr>
          <w:rStyle w:val="Rimandonotaapidipagina"/>
          <w:spacing w:val="-2"/>
        </w:rPr>
        <w:footnoteReference w:id="168"/>
      </w:r>
      <w:r w:rsidRPr="007574F4">
        <w:rPr>
          <w:spacing w:val="-2"/>
        </w:rPr>
        <w:t>.</w:t>
      </w:r>
    </w:p>
    <w:p w14:paraId="13F62FBB" w14:textId="5A98C395" w:rsidR="002C4301" w:rsidRPr="00067EB0" w:rsidRDefault="002C4301" w:rsidP="002C4301">
      <w:pPr>
        <w:pStyle w:val="Capoverso"/>
      </w:pPr>
      <w:r w:rsidRPr="00067EB0">
        <w:t>Si tratta, in ogni caso, di una soluzione che si presta ad alcune valutazioni critiche. Il giudizio di validità effettuato dalla Corte di giustizia ai sensi dell’art. 267 TFUE è un sistema di controllo dell’operato delle istituzioni che presenta carattere obiettivo e che non è a disposizione del singolo, ma del giudice nazionale: ed infatti, come la stessa Corte di giustizia ha riconosciuto</w:t>
      </w:r>
      <w:r w:rsidRPr="006E1027">
        <w:rPr>
          <w:rStyle w:val="Rimandonotaapidipagina"/>
        </w:rPr>
        <w:t> </w:t>
      </w:r>
      <w:r w:rsidRPr="006E1027">
        <w:rPr>
          <w:rStyle w:val="Rimandonotaapidipagina"/>
        </w:rPr>
        <w:footnoteReference w:id="169"/>
      </w:r>
      <w:r w:rsidRPr="00067EB0">
        <w:t>, la questione relativa alla validità di un atto delle istituzioni non può essere dichiarata irricevibile se è stata sollevata d’ufficio dal giudice e non da un soggetto che, pur potendo proporre un ricorso di annullamento avverso detto atto, non lo abbia fatto nei termini previsti dall’art. 263 TFUE.</w:t>
      </w:r>
    </w:p>
    <w:p w14:paraId="6691D972" w14:textId="25F76673" w:rsidR="002C4301" w:rsidRPr="007574F4" w:rsidRDefault="002C4301" w:rsidP="002C4301">
      <w:pPr>
        <w:pStyle w:val="Capoverso"/>
        <w:rPr>
          <w:spacing w:val="-2"/>
        </w:rPr>
      </w:pPr>
      <w:r w:rsidRPr="007574F4">
        <w:rPr>
          <w:spacing w:val="-2"/>
        </w:rPr>
        <w:t>Il rinvio pregiudiziale di validità</w:t>
      </w:r>
      <w:r w:rsidR="004A50CC" w:rsidRPr="007574F4">
        <w:rPr>
          <w:spacing w:val="-2"/>
        </w:rPr>
        <w:t xml:space="preserve"> </w:t>
      </w:r>
      <w:r w:rsidRPr="007574F4">
        <w:rPr>
          <w:spacing w:val="-2"/>
        </w:rPr>
        <w:t>a differenza dell’azione di annullamento, non è un giudizio di parti. Queste hanno la possibilità di presentare osservazioni alla Corte ai sensi dell’art 23 Statuto. Ma non possono obbligare la Corte a pronunciarsi su cause di illegittimità dell’atto non contenute nell’ordi</w:t>
      </w:r>
      <w:r w:rsidR="000870B9" w:rsidRPr="007574F4">
        <w:rPr>
          <w:spacing w:val="-2"/>
        </w:rPr>
        <w:softHyphen/>
      </w:r>
      <w:r w:rsidRPr="007574F4">
        <w:rPr>
          <w:spacing w:val="-2"/>
        </w:rPr>
        <w:t>nanza di rinvio</w:t>
      </w:r>
      <w:r w:rsidRPr="007574F4">
        <w:rPr>
          <w:spacing w:val="-2"/>
          <w:vertAlign w:val="superscript"/>
        </w:rPr>
        <w:t> </w:t>
      </w:r>
      <w:r w:rsidRPr="007574F4">
        <w:rPr>
          <w:rStyle w:val="Rimandonotaapidipagina"/>
          <w:spacing w:val="-2"/>
        </w:rPr>
        <w:footnoteReference w:id="170"/>
      </w:r>
      <w:r w:rsidRPr="007574F4">
        <w:rPr>
          <w:spacing w:val="-2"/>
        </w:rPr>
        <w:t xml:space="preserve">. La Corte, d’altra parte, può, </w:t>
      </w:r>
      <w:r w:rsidRPr="007574F4">
        <w:rPr>
          <w:i/>
          <w:spacing w:val="-2"/>
        </w:rPr>
        <w:t>motu proprio</w:t>
      </w:r>
      <w:r w:rsidRPr="007574F4">
        <w:rPr>
          <w:spacing w:val="-2"/>
        </w:rPr>
        <w:t>, sindacare la validità dell’atto sulla base di motivi diversi da quelli indicati dal giudice del rinvio. Riformulando il quesito pregiudiziale sottopostole essa può persino trasformare una questione di interpretazione in una questione di validità dell’atto</w:t>
      </w:r>
      <w:r w:rsidRPr="007574F4">
        <w:rPr>
          <w:rStyle w:val="Rimandonotaapidipagina"/>
          <w:spacing w:val="-2"/>
        </w:rPr>
        <w:t> </w:t>
      </w:r>
      <w:r w:rsidRPr="007574F4">
        <w:rPr>
          <w:rStyle w:val="Rimandonotaapidipagina"/>
          <w:spacing w:val="-2"/>
        </w:rPr>
        <w:footnoteReference w:id="171"/>
      </w:r>
      <w:r w:rsidRPr="007574F4">
        <w:rPr>
          <w:spacing w:val="-2"/>
        </w:rPr>
        <w:t xml:space="preserve"> e viceversa</w:t>
      </w:r>
      <w:r w:rsidRPr="007574F4">
        <w:rPr>
          <w:rStyle w:val="Rimandonotaapidipagina"/>
          <w:spacing w:val="-2"/>
        </w:rPr>
        <w:t> </w:t>
      </w:r>
      <w:r w:rsidRPr="007574F4">
        <w:rPr>
          <w:rStyle w:val="Rimandonotaapidipagina"/>
          <w:spacing w:val="-2"/>
        </w:rPr>
        <w:footnoteReference w:id="172"/>
      </w:r>
      <w:r w:rsidRPr="007574F4">
        <w:rPr>
          <w:spacing w:val="-2"/>
        </w:rPr>
        <w:t xml:space="preserve">. Può dunque accadere che la Corte esamini vizi differenti da quelli segnalati dal giudice </w:t>
      </w:r>
      <w:r w:rsidRPr="007574F4">
        <w:rPr>
          <w:i/>
          <w:spacing w:val="-2"/>
        </w:rPr>
        <w:t>a quo</w:t>
      </w:r>
      <w:r w:rsidRPr="007574F4">
        <w:rPr>
          <w:rStyle w:val="Rimandonotaapidipagina"/>
          <w:spacing w:val="-2"/>
        </w:rPr>
        <w:t> </w:t>
      </w:r>
      <w:r w:rsidRPr="007574F4">
        <w:rPr>
          <w:rStyle w:val="Rimandonotaapidipagina"/>
          <w:spacing w:val="-2"/>
        </w:rPr>
        <w:footnoteReference w:id="173"/>
      </w:r>
      <w:r w:rsidRPr="007574F4">
        <w:rPr>
          <w:spacing w:val="-2"/>
        </w:rPr>
        <w:t>.</w:t>
      </w:r>
    </w:p>
    <w:p w14:paraId="044FD351" w14:textId="77777777" w:rsidR="002C4301" w:rsidRPr="00067EB0" w:rsidRDefault="002C4301" w:rsidP="002C4301">
      <w:pPr>
        <w:pStyle w:val="Capoverso"/>
      </w:pPr>
      <w:r w:rsidRPr="00067EB0">
        <w:t xml:space="preserve">Quanto agli </w:t>
      </w:r>
      <w:r w:rsidRPr="00AE6D2D">
        <w:rPr>
          <w:i/>
        </w:rPr>
        <w:t>effetti</w:t>
      </w:r>
      <w:r w:rsidRPr="00067EB0">
        <w:t>, la sentenza pregiudiziale che dichiara l’invalidità di un atto dell’Unione si impone al giudice di rinvio: l’atto non potrà pertanto trovare applicazione. Tuttavia la Corte ha esteso tale effetto all’insieme delle giurisdizioni degli Stati membri, notando che la pronuncia di invalidità, pur avendo come destinatario solo il giudice del rinvio, costituisce “ragione sufficiente per ogni altro giudice di considerare tale atto come invalido ai fini della decisione che è chiamato a rendere”</w:t>
      </w:r>
      <w:r w:rsidRPr="006E1027">
        <w:rPr>
          <w:rStyle w:val="Rimandonotaapidipagina"/>
        </w:rPr>
        <w:t> </w:t>
      </w:r>
      <w:r w:rsidRPr="006E1027">
        <w:rPr>
          <w:rStyle w:val="Rimandonotaapidipagina"/>
        </w:rPr>
        <w:footnoteReference w:id="174"/>
      </w:r>
      <w:r w:rsidRPr="00067EB0">
        <w:t>, salvo ritenga avere interesse a sollevare nuovamente la questione in caso di incertezza sulla portata e sulle conseguenze dell’in</w:t>
      </w:r>
      <w:r w:rsidR="000870B9">
        <w:softHyphen/>
      </w:r>
      <w:r w:rsidRPr="00067EB0">
        <w:t>validità pronunciata; esso potrà anche riproporre la questione di validità di un atto già dichiarato valido adducendo motivi diversi da quelli già esaminati dalla Corte</w:t>
      </w:r>
      <w:r w:rsidRPr="006E1027">
        <w:rPr>
          <w:rStyle w:val="Rimandonotaapidipagina"/>
        </w:rPr>
        <w:t> </w:t>
      </w:r>
      <w:r w:rsidRPr="006E1027">
        <w:rPr>
          <w:rStyle w:val="Rimandonotaapidipagina"/>
        </w:rPr>
        <w:footnoteReference w:id="175"/>
      </w:r>
      <w:r w:rsidRPr="00067EB0">
        <w:t>. La sentenza che dichiara l’invalidità di un atto delle istituzioni non ha per effetto di eliminarlo dall’ordinamento giuridico dell’Unione</w:t>
      </w:r>
      <w:r w:rsidRPr="006E1027">
        <w:rPr>
          <w:rStyle w:val="Rimandonotaapidipagina"/>
        </w:rPr>
        <w:t> </w:t>
      </w:r>
      <w:r w:rsidRPr="006E1027">
        <w:rPr>
          <w:rStyle w:val="Rimandonotaapidipagina"/>
        </w:rPr>
        <w:footnoteReference w:id="176"/>
      </w:r>
      <w:r w:rsidRPr="00067EB0">
        <w:t>, né di far rivivere automaticamente la disciplina anteriore alla sua entrata in vigore</w:t>
      </w:r>
      <w:r w:rsidRPr="006E1027">
        <w:rPr>
          <w:rStyle w:val="Rimandonotaapidipagina"/>
        </w:rPr>
        <w:t> </w:t>
      </w:r>
      <w:r w:rsidRPr="006E1027">
        <w:rPr>
          <w:rStyle w:val="Rimandonotaapidipagina"/>
        </w:rPr>
        <w:footnoteReference w:id="177"/>
      </w:r>
      <w:r w:rsidRPr="00067EB0">
        <w:t>, che comunque potrebbe trovare applicazione in quanto la dichiarazione d’invalidità di un atto che ha implicitamente abrogato un altro atto implica, in linea di principio, il diritto per le parti nella causa principale di essere poste nella stessa situazione in cui si troverebbero se tale abrogazione non fosse avvenuta</w:t>
      </w:r>
      <w:r w:rsidRPr="006E1027">
        <w:rPr>
          <w:rStyle w:val="Rimandonotaapidipagina"/>
        </w:rPr>
        <w:t> </w:t>
      </w:r>
      <w:r w:rsidRPr="006E1027">
        <w:rPr>
          <w:rStyle w:val="Rimandonotaapidipagina"/>
        </w:rPr>
        <w:footnoteReference w:id="178"/>
      </w:r>
      <w:r w:rsidRPr="00067EB0">
        <w:t>; tuttavia l’istituzione che l’ha emanato deve adottare le misure necessarie per eliminare i vizi riscontrati, modificandolo o abrogandolo.</w:t>
      </w:r>
    </w:p>
    <w:p w14:paraId="6321C4EE" w14:textId="5EEAB2F3" w:rsidR="002C4301" w:rsidRPr="00067EB0" w:rsidRDefault="002C4301" w:rsidP="002C4301">
      <w:pPr>
        <w:pStyle w:val="Capoverso"/>
      </w:pPr>
      <w:r w:rsidRPr="00067EB0">
        <w:t xml:space="preserve">Da ultimo, si deve segnalare che anche per le sentenze pregiudiziali di validità la Corte riconosce la propria competenza a stabilire limitazioni temporali alle </w:t>
      </w:r>
      <w:r w:rsidR="004A50CC">
        <w:t>proprie</w:t>
      </w:r>
      <w:r w:rsidRPr="00067EB0">
        <w:t xml:space="preserve"> sentenze, sulla base dei medesimi presupposti stabiliti con riguardo alle sentenze pregiudiziali interpretative</w:t>
      </w:r>
      <w:r w:rsidRPr="006E1027">
        <w:rPr>
          <w:rStyle w:val="Rimandonotaapidipagina"/>
        </w:rPr>
        <w:footnoteReference w:id="179"/>
      </w:r>
      <w:r w:rsidRPr="00067EB0">
        <w:t>. La Corte ha esplicitamente utilizzato in via analogica l’art. 264 TFUE, al fine di limitare nel tempo gli effetti delle sue pronunce, anche quando rese nell’ambito della competenza pregiudiziale, rilevando che tanto il ricorso in annullamento quanto quello pregiudiziale di validità sono due modalità del controllo di legalità, e dunque ragioni di coerenza consentono l’estensione della facoltà prevista dall’art. 264 TFUE anche alla competenza pregiudiziale</w:t>
      </w:r>
      <w:r w:rsidRPr="006E1027">
        <w:rPr>
          <w:rStyle w:val="Rimandonotaapidipagina"/>
        </w:rPr>
        <w:t> </w:t>
      </w:r>
      <w:r w:rsidRPr="006E1027">
        <w:rPr>
          <w:rStyle w:val="Rimandonotaapidipagina"/>
        </w:rPr>
        <w:footnoteReference w:id="180"/>
      </w:r>
      <w:r w:rsidRPr="00067EB0">
        <w:t>. La Corte non ha escluso però la possibilità di prevedere delle eccezioni al suo potere di limitare gli effetti nel tempo di tali sentenze, a favore delle parti che avessero istruito la causa dinanzi al giudice interno, o di ogni altra persona che avesse proposto un ricorso equivalente prima della sentenza di accertamento dell’invalidità dell’atto</w:t>
      </w:r>
      <w:r w:rsidRPr="006E1027">
        <w:rPr>
          <w:rStyle w:val="Rimandonotaapidipagina"/>
        </w:rPr>
        <w:t> </w:t>
      </w:r>
      <w:r w:rsidRPr="006E1027">
        <w:rPr>
          <w:rStyle w:val="Rimandonotaapidipagina"/>
        </w:rPr>
        <w:footnoteReference w:id="181"/>
      </w:r>
      <w:r w:rsidRPr="00067EB0">
        <w:t>, riconoscendo che l’attore nella causa principale può legittimamente invocare la declaratoria di invalidità del</w:t>
      </w:r>
      <w:r w:rsidR="007574F4">
        <w:softHyphen/>
      </w:r>
      <w:r w:rsidRPr="00067EB0">
        <w:t xml:space="preserve">l’atto dell’Unione nell’ambito della causa principale, in modo che il ricorrente non sia privato del diritto a una tutela giurisdizionale effettiva in caso di violazione del diritto dell’Unione da parte di un’istituzione. Tuttavia, la Corte ha anche precisato che spetta unicamente ad essa stabilire se una deroga alla limitazione nel tempo degli effetti di una sua sentenza </w:t>
      </w:r>
      <w:r w:rsidR="00FB1A07">
        <w:rPr>
          <w:rFonts w:ascii="Times New Roman" w:hAnsi="Times New Roman"/>
        </w:rPr>
        <w:t>«</w:t>
      </w:r>
      <w:r w:rsidRPr="00067EB0">
        <w:t xml:space="preserve">possa essere prevista a favore della parte della causa principale che abbia impugnato dinanzi al giudice nazionale l’atto </w:t>
      </w:r>
      <w:r w:rsidR="00FB1A07">
        <w:t>[</w:t>
      </w:r>
      <w:r w:rsidRPr="00067EB0">
        <w:t>…</w:t>
      </w:r>
      <w:r w:rsidR="00FB1A07">
        <w:t>]</w:t>
      </w:r>
      <w:r w:rsidRPr="00067EB0">
        <w:t xml:space="preserve"> o se, al contrario, anche nei confronti di detta parte, la declaratoria d’invalidità del regolamento con effetti unicamente </w:t>
      </w:r>
      <w:r w:rsidRPr="00AE6D2D">
        <w:rPr>
          <w:i/>
        </w:rPr>
        <w:t>ex nunc</w:t>
      </w:r>
      <w:r w:rsidRPr="00067EB0">
        <w:t xml:space="preserve"> costituisca un rimedio adeguato</w:t>
      </w:r>
      <w:r w:rsidR="00FB1A07">
        <w:rPr>
          <w:rFonts w:ascii="Times New Roman" w:hAnsi="Times New Roman"/>
        </w:rPr>
        <w:t>»</w:t>
      </w:r>
      <w:r w:rsidRPr="006E1027">
        <w:rPr>
          <w:rStyle w:val="Rimandonotaapidipagina"/>
        </w:rPr>
        <w:t> </w:t>
      </w:r>
      <w:r w:rsidRPr="006E1027">
        <w:rPr>
          <w:rStyle w:val="Rimandonotaapidipagina"/>
        </w:rPr>
        <w:footnoteReference w:id="182"/>
      </w:r>
      <w:r w:rsidRPr="00067EB0">
        <w:t>. D’altra parte, il solo fatto delle gravi conseguenze che la sentenza può arrecare alle finanze pubbliche di uno Stato, non può giustificare di per sé una limitazione nel tempo dei suoi effetti</w:t>
      </w:r>
      <w:r w:rsidRPr="006E1027">
        <w:rPr>
          <w:rStyle w:val="Rimandonotaapidipagina"/>
        </w:rPr>
        <w:t> </w:t>
      </w:r>
      <w:r w:rsidRPr="006E1027">
        <w:rPr>
          <w:rStyle w:val="Rimandonotaapidipagina"/>
        </w:rPr>
        <w:footnoteReference w:id="183"/>
      </w:r>
      <w:r w:rsidRPr="00067EB0">
        <w:t>.</w:t>
      </w:r>
    </w:p>
    <w:p w14:paraId="218CD1A1" w14:textId="77777777" w:rsidR="002C4301" w:rsidRPr="00190E78" w:rsidRDefault="002C4301" w:rsidP="002C4301">
      <w:pPr>
        <w:pStyle w:val="Paragrafo"/>
      </w:pPr>
      <w:r w:rsidRPr="00190E78">
        <w:t xml:space="preserve">8. Rinvio </w:t>
      </w:r>
      <w:r w:rsidRPr="002F2A96">
        <w:t>pregiudiziale</w:t>
      </w:r>
      <w:r w:rsidRPr="00190E78">
        <w:t xml:space="preserve"> accelerato e di urgenza</w:t>
      </w:r>
    </w:p>
    <w:p w14:paraId="3252C7EF" w14:textId="0BF4FD37" w:rsidR="002C4301" w:rsidRPr="00067EB0" w:rsidRDefault="002C4301" w:rsidP="002C4301">
      <w:pPr>
        <w:pStyle w:val="Capoverso"/>
        <w:rPr>
          <w:smallCaps/>
        </w:rPr>
      </w:pPr>
      <w:r w:rsidRPr="00067EB0">
        <w:t xml:space="preserve">Secondo quanto previsto dall’art. 23 </w:t>
      </w:r>
      <w:r w:rsidRPr="00AE6D2D">
        <w:rPr>
          <w:i/>
          <w:iCs/>
        </w:rPr>
        <w:t>bis</w:t>
      </w:r>
      <w:r w:rsidRPr="00067EB0">
        <w:t xml:space="preserve"> Statuto e dagli artt. da 105 a 114 </w:t>
      </w:r>
      <w:r w:rsidR="00627198">
        <w:t>reg. proc. Corte</w:t>
      </w:r>
      <w:r w:rsidRPr="00067EB0">
        <w:t>, un rinvio pregiudiziale può essere trattato, in presenza di determinate circostanze, con procedimenti speciali (procedimento accelerato o con procedimento d’urgenza). Tali procedimenti sono preordinati a ridurre drasticamente la durata di definizione del giudizio.</w:t>
      </w:r>
    </w:p>
    <w:p w14:paraId="2CCCE960" w14:textId="11239C03" w:rsidR="002C4301" w:rsidRPr="00CD1630" w:rsidRDefault="002C4301" w:rsidP="002C4301">
      <w:pPr>
        <w:pStyle w:val="Capoverso"/>
      </w:pPr>
      <w:r w:rsidRPr="00CD1630">
        <w:t xml:space="preserve">Ai sensi dell’art. 105 </w:t>
      </w:r>
      <w:r w:rsidR="00627198">
        <w:t>reg. proc. Corte</w:t>
      </w:r>
      <w:r w:rsidRPr="00CD1630">
        <w:t>, un rinvio pregiudiziale può essere sottoposto a procedimento accelerato, d’ufficio o su domanda del giudice del rinvio, quando la natura della causa richiede un suo rapido trattamento. Si tratta di uno strumento procedurale destinato a rispondere a una situazione di straordinaria urgenza, la cui esistenza deve essere accertata con riferimento a circostanze eccezionali proprie della fattispecie in relazione alla quale viene presentata una domanda di procedimento accelerato</w:t>
      </w:r>
      <w:r w:rsidRPr="006E1027">
        <w:rPr>
          <w:rStyle w:val="Rimandonotaapidipagina"/>
        </w:rPr>
        <w:t> </w:t>
      </w:r>
      <w:r w:rsidRPr="006E1027">
        <w:rPr>
          <w:rStyle w:val="Rimandonotaapidipagina"/>
        </w:rPr>
        <w:footnoteReference w:id="184"/>
      </w:r>
      <w:r w:rsidRPr="00CD1630">
        <w:t>. Ciò può avvenire in caso di rischi elevati e imminenti per la salute pubblica o l’ambiente, che una rapida decisione della Corte può contribuire a prevenire, o quando circostanze particolari impongano di rimuovere in tempi brevissimi incertezze riguardanti questioni fondamentali di diritto costituzionale nazionale e di diritto dell’Unio</w:t>
      </w:r>
      <w:r w:rsidR="000870B9">
        <w:softHyphen/>
      </w:r>
      <w:r w:rsidRPr="00CD1630">
        <w:t>ne. Invece, non rientrano nella sfera di applicazione di questo procedimento speciale le seguenti ipotesi: il numero rilevante di soggetti o di rapporti giuridici potenzialmente interessati dalla decisione che il giudice del rinvio deve adottare dopo aver adito la Corte in via pregiudiziale, l’esistenza di interessi economici importanti oppure l’obbligo per il giudice del rinvio di statuire rapidamente. Sotto il profilo procedurale, sono prescritti termini molto più brevi di quelli ordinari, in particolare, viene fissata immediatamente la data d’udienza e i termini per la presentazione delle osservazioni scritte possono essere ridotti a quindici giorni. Questi termini sono fissati dal Presidente, il quale può invitare le parti a soffermarsi sui punti di diritto essenziali sollevati dalla domanda.</w:t>
      </w:r>
    </w:p>
    <w:p w14:paraId="4C21E1A4" w14:textId="40E1C3D0" w:rsidR="002C4301" w:rsidRPr="00AE6D2D" w:rsidRDefault="002C4301" w:rsidP="002C4301">
      <w:pPr>
        <w:pStyle w:val="Capoverso"/>
        <w:rPr>
          <w:bCs/>
          <w:i/>
          <w:smallCaps/>
        </w:rPr>
      </w:pPr>
      <w:r w:rsidRPr="00190E78">
        <w:t xml:space="preserve">Si prevede poi il </w:t>
      </w:r>
      <w:r w:rsidRPr="00190E78">
        <w:rPr>
          <w:iCs/>
        </w:rPr>
        <w:t>procedimento d</w:t>
      </w:r>
      <w:r>
        <w:rPr>
          <w:iCs/>
        </w:rPr>
        <w:t>’</w:t>
      </w:r>
      <w:r w:rsidRPr="00190E78">
        <w:rPr>
          <w:iCs/>
        </w:rPr>
        <w:t>urgenza</w:t>
      </w:r>
      <w:r w:rsidRPr="00190E78">
        <w:t xml:space="preserve"> che, ai sensi dell</w:t>
      </w:r>
      <w:r>
        <w:t>’</w:t>
      </w:r>
      <w:r w:rsidRPr="00190E78">
        <w:t xml:space="preserve">art. 267, </w:t>
      </w:r>
      <w:r>
        <w:t xml:space="preserve">quarto </w:t>
      </w:r>
      <w:r w:rsidRPr="00190E78">
        <w:t>comma, TFUE, dell</w:t>
      </w:r>
      <w:r>
        <w:t>’</w:t>
      </w:r>
      <w:r w:rsidRPr="00190E78">
        <w:t xml:space="preserve">art. 23 </w:t>
      </w:r>
      <w:r w:rsidRPr="00AE6D2D">
        <w:rPr>
          <w:i/>
        </w:rPr>
        <w:t>bis</w:t>
      </w:r>
      <w:r w:rsidRPr="00190E78">
        <w:t xml:space="preserve"> Statuto e degli artt.</w:t>
      </w:r>
      <w:r>
        <w:t xml:space="preserve"> </w:t>
      </w:r>
      <w:r w:rsidRPr="00190E78">
        <w:t>107 e ss. reg. proc. Corte, si applica esclusivamente nei settori di cui al titolo V della parte terza del TFUE, relativo allo spazio di libertà, sicurezza e giustizia. Sono coinvolt</w:t>
      </w:r>
      <w:r>
        <w:t>e</w:t>
      </w:r>
      <w:r w:rsidRPr="00190E78">
        <w:t xml:space="preserve"> quindi le questioni pregiudiziali in tema di cooperazione giudiziaria nel settore civile (ad es., i regolamenti in tema di sottrazione di minori) e nel settore penale (ad es., la decisione quadro in tema di mandato di cattura europea). Per quanto riguarda il criterio relativo all</w:t>
      </w:r>
      <w:r>
        <w:t>’</w:t>
      </w:r>
      <w:r w:rsidRPr="00190E78">
        <w:t>urgenza, da una giurisprudenza costante risulta che, in caso di procedimento penale, esso è soddisfatto qualora la persona di cui si discute nella causa principale sia privata della libertà alla data di presentazione della domanda di pronuncia pregiudiziale e il suo mantenimento in stato di detenzione dipenda dalla soluzione di tale controversia</w:t>
      </w:r>
      <w:r w:rsidRPr="006E1027">
        <w:rPr>
          <w:rStyle w:val="Rimandonotaapidipagina"/>
        </w:rPr>
        <w:t> </w:t>
      </w:r>
      <w:r w:rsidRPr="006E1027">
        <w:rPr>
          <w:rStyle w:val="Rimandonotaapidipagina"/>
        </w:rPr>
        <w:footnoteReference w:id="185"/>
      </w:r>
      <w:r>
        <w:t>.</w:t>
      </w:r>
      <w:r w:rsidRPr="00190E78">
        <w:t xml:space="preserve"> A titolo esemplificativo, le Raccomandazioni rivolte ai giudici nazionali evidenziano che tale procedimento può applicarsi nel caso di una </w:t>
      </w:r>
      <w:r w:rsidR="00FB1A07">
        <w:rPr>
          <w:rFonts w:ascii="Times New Roman" w:hAnsi="Times New Roman"/>
        </w:rPr>
        <w:t>«</w:t>
      </w:r>
      <w:r w:rsidRPr="00190E78">
        <w:t>persona detenuta o privata della libertà, qualora la risposta data alla questione sollevata sia determinante per valutare la posizione giuridica di tale persona oppure in una controversia relativa alla potestà dei genitori o alla custodia dei figli nella prima infanzia, quando, in particolare, l</w:t>
      </w:r>
      <w:r>
        <w:t>’</w:t>
      </w:r>
      <w:r w:rsidRPr="00190E78">
        <w:t>esito della controversia di cui al procedimento principale dipende dalla risposta data alla questione pregiudiziale e il ricorso al procedimento ordinario possa danneggiare seriamente, se non addirittura irrimediabilmente, il rapporto tra il minore e i (o uno dei) suoi genitori o il suo sviluppo nonché il suo inserimento nel suo ambiente familiare e sociale</w:t>
      </w:r>
      <w:r w:rsidR="00FB1A07">
        <w:rPr>
          <w:rFonts w:ascii="Times New Roman" w:hAnsi="Times New Roman"/>
        </w:rPr>
        <w:t>»</w:t>
      </w:r>
      <w:r w:rsidRPr="00190E78">
        <w:t>. Le Raccomandazioni escludono invece che tale procedimento sia giustificato in presenza di meri interessi economici, sia pure importanti e legittimi, dell</w:t>
      </w:r>
      <w:r>
        <w:t>’</w:t>
      </w:r>
      <w:r w:rsidRPr="00190E78">
        <w:t>incertezza giuridica che incide sulla situazione delle parti nel procedimento principale o di altre parti in controversie simili, del numero rilevante di soggetti o di situazioni giuridiche potenzialmente interessate dalla decisione che il giudice del rinvio deve emanare dopo aver adito la Corte in via pregiudiziale o del numero considerevole di cause che possono essere interessate dalla decisione della Corte.</w:t>
      </w:r>
    </w:p>
    <w:p w14:paraId="4ADA1B48" w14:textId="77777777" w:rsidR="002C4301" w:rsidRPr="00AE6D2D" w:rsidRDefault="002C4301" w:rsidP="002C4301">
      <w:pPr>
        <w:pStyle w:val="Capoverso"/>
        <w:rPr>
          <w:bCs/>
          <w:i/>
          <w:smallCaps/>
        </w:rPr>
      </w:pPr>
      <w:r w:rsidRPr="00190E78">
        <w:t>Tale procedimento impone vincoli ancora più rigidi ai partecipanti, poiché limita il numero delle parti autorizzate a depositare osservazioni scritte e consente, in casi di estrema urgenza, di omettere completamente la fase scritta del procedimento dinanzi alla Corte. Di conseguenza, l</w:t>
      </w:r>
      <w:r>
        <w:t>’</w:t>
      </w:r>
      <w:r w:rsidRPr="00190E78">
        <w:t>applicazione di questo procedimento dev</w:t>
      </w:r>
      <w:r>
        <w:t>’</w:t>
      </w:r>
      <w:r w:rsidRPr="00190E78">
        <w:t>essere richiesta dal giudice del rinvio o decisa in via eccezionale d</w:t>
      </w:r>
      <w:r>
        <w:t>’</w:t>
      </w:r>
      <w:r w:rsidRPr="00190E78">
        <w:t>ufficio</w:t>
      </w:r>
      <w:r w:rsidRPr="006E1027">
        <w:rPr>
          <w:rStyle w:val="Rimandonotaapidipagina"/>
        </w:rPr>
        <w:t> </w:t>
      </w:r>
      <w:r w:rsidRPr="006E1027">
        <w:rPr>
          <w:rStyle w:val="Rimandonotaapidipagina"/>
        </w:rPr>
        <w:footnoteReference w:id="186"/>
      </w:r>
      <w:r w:rsidRPr="00190E78">
        <w:t xml:space="preserve"> solo in circostanze in cui sia assolutamente necessario che la Corte si pronunci sulle questioni proposte nel più breve tempo possibile. Il diritto di depositare osservazioni scritte è riservato solo alle parti in causa del giudizio principale, allo Stato membro a cui appartiene il giudice del rinvio, alla Commissione e al Consiglio e al Parlamento nel caso in cui uno dei loro atti sia oggetto di causa, mentre gli altri interessati sono autorizzati a partecipare soltanto alla fase orale della procedura.</w:t>
      </w:r>
    </w:p>
    <w:p w14:paraId="2C5576AB" w14:textId="77777777" w:rsidR="002C4301" w:rsidRPr="00190E78" w:rsidRDefault="002C4301" w:rsidP="002C4301">
      <w:pPr>
        <w:pStyle w:val="Paragrafo"/>
      </w:pPr>
      <w:r w:rsidRPr="00190E78">
        <w:t>9. Disciplina e prassi del rinvio pregiudiziale nell</w:t>
      </w:r>
      <w:r>
        <w:t>’</w:t>
      </w:r>
      <w:r w:rsidRPr="00190E78">
        <w:t>ordinamento italiano</w:t>
      </w:r>
    </w:p>
    <w:p w14:paraId="65B64BF8" w14:textId="77777777" w:rsidR="002C4301" w:rsidRPr="007574F4" w:rsidRDefault="002C4301" w:rsidP="002C4301">
      <w:pPr>
        <w:pStyle w:val="Capoverso"/>
        <w:rPr>
          <w:spacing w:val="-5"/>
        </w:rPr>
      </w:pPr>
      <w:r w:rsidRPr="007574F4">
        <w:rPr>
          <w:spacing w:val="-5"/>
        </w:rPr>
        <w:t>Per concludere, appare utile fornire brevi cenni sulle regole che disciplinano il rinvio pregiudiziale nell’ordinamento italiano, nonché sulla prassi dei giudici italiani.</w:t>
      </w:r>
    </w:p>
    <w:p w14:paraId="1D8D5EBC" w14:textId="14D95FAB" w:rsidR="002C4301" w:rsidRPr="00067EB0" w:rsidRDefault="002C4301" w:rsidP="002C4301">
      <w:pPr>
        <w:pStyle w:val="Capoverso"/>
      </w:pPr>
      <w:r w:rsidRPr="00067EB0">
        <w:t>La disciplina interna del rinvio pregiudiziale alla Corte di giustizia si limita all’art. 3, primo comma, della l</w:t>
      </w:r>
      <w:r w:rsidR="00DA019E">
        <w:t>egge</w:t>
      </w:r>
      <w:r w:rsidRPr="00067EB0">
        <w:t xml:space="preserve"> 13 marzo 1958, n. 204. La disposizione citata offre invero scarne indicazioni, limitandosi a stabilire che il giudice pronunci «ordinanza con la quale, riferiti i termini e i motivi dell’istanza, con cui fu sollevata la questione», dispone «la immediata trasmissione degli atti alla Corte di giustizia e sospende il giudizio in corso». Dalla formulazione della disposizione si rinviene dunque che la forma dell’atto con cui il giudice si rivolge alla Corte è quella dell’ordinanza, nonché che il giudice, all’atto del rinvio, deve contestualmente sospendere il processo in corso. Quanto al contenuto dell’ordinanza, alle scarne indicazioni della legge andranno aggiunte quelle ricavabili dalla giurisprudenza della Corte di giustizia (v. </w:t>
      </w:r>
      <w:r w:rsidRPr="00AE6D2D">
        <w:rPr>
          <w:i/>
        </w:rPr>
        <w:t>supra</w:t>
      </w:r>
      <w:r w:rsidRPr="00067EB0">
        <w:t xml:space="preserve">, in tema di ricevibilità del rinvio), nonché le istruzioni rivolte ai giudici nazionali nella già esaminata </w:t>
      </w:r>
      <w:r w:rsidRPr="00067EB0">
        <w:rPr>
          <w:iCs/>
        </w:rPr>
        <w:t>nota informativa della Corte riguardante la proposizione di domande di pronuncia pregiudiziale da parte dei giudici nazionali</w:t>
      </w:r>
      <w:r w:rsidRPr="00067EB0">
        <w:t>. Altri elementi più propriamente di rito dovranno allora essere desunti dalla normativa nazionale, applicabile per analogia, a condizione che le regole in questione siano conformi alle esigenze di effettività e di equivalenza della tutela giurisdizionale. Vale a dire che le modalità procedurali «non devono essere meno favorevoli di quelle che riguardano ricorsi analoghi di natura interna [principio di equivalenza], né devono rendere praticamente impossibile o eccessivamente difficile l’esercizio dei diritti conferiti dal</w:t>
      </w:r>
      <w:r w:rsidR="000870B9">
        <w:softHyphen/>
      </w:r>
      <w:r w:rsidRPr="00067EB0">
        <w:t>l’ordinamento giuridico dell’Unione [principio di effettività]».</w:t>
      </w:r>
    </w:p>
    <w:p w14:paraId="53780C84" w14:textId="5A211249" w:rsidR="002C4301" w:rsidRPr="007574F4" w:rsidRDefault="002C4301" w:rsidP="002C4301">
      <w:pPr>
        <w:pStyle w:val="Capoverso"/>
        <w:rPr>
          <w:spacing w:val="-2"/>
        </w:rPr>
      </w:pPr>
      <w:r w:rsidRPr="007574F4">
        <w:rPr>
          <w:spacing w:val="-2"/>
        </w:rPr>
        <w:t>Una questione piuttosto controversa concerne la natura della sospensione del giudizio in corso, definita impropria, e i suoi effetti sugli altri procedimenti in corso. Mentre nel processo penale la sospensione del giudizio in attesa della sentenza della Corte di giustizia appare una prassi generalmente utilizzata, nel processo civile vi sono stati degli orientamenti discordanti. In un primo momento era stato evidenziato che il rinvio pregiudiziale dinanzi a un giudice non può essere invocato da altro giudice quale motivazione per sospendere ai sensi dell’art. 295 c.p.c. il giudizio nel quale si presenta la medesima questione interpretativa</w:t>
      </w:r>
      <w:r w:rsidRPr="007574F4">
        <w:rPr>
          <w:rStyle w:val="Rimandonotaapidipagina"/>
          <w:spacing w:val="-2"/>
        </w:rPr>
        <w:t> </w:t>
      </w:r>
      <w:r w:rsidRPr="007574F4">
        <w:rPr>
          <w:rStyle w:val="Rimandonotaapidipagina"/>
          <w:spacing w:val="-2"/>
        </w:rPr>
        <w:footnoteReference w:id="187"/>
      </w:r>
      <w:r w:rsidRPr="007574F4">
        <w:rPr>
          <w:spacing w:val="-2"/>
        </w:rPr>
        <w:t xml:space="preserve">. Seguendo questo orientamento, il giudice nazionale non poteva limitarsi a sospendere il giudizio, ma doveva, a sua volta, operare il rinvio al fine di consentire alle parti di questo secondo giudizio di partecipare alla fase orale e scritta dinanzi alla Corte. Successivamente, si è invece affermato che </w:t>
      </w:r>
      <w:r w:rsidR="00FB1A07" w:rsidRPr="007574F4">
        <w:rPr>
          <w:rFonts w:ascii="Times New Roman" w:hAnsi="Times New Roman"/>
          <w:spacing w:val="-2"/>
        </w:rPr>
        <w:t>«</w:t>
      </w:r>
      <w:r w:rsidRPr="007574F4">
        <w:rPr>
          <w:spacing w:val="-2"/>
        </w:rPr>
        <w:t>allorquando una medesima questione sia già stata sottoposta all’esame della giustizia comunitaria – perché proposta innanzi al Tribunale di prima istanza di Lussemburgo, oppure perché già sollevata da un giudice nazionale direttamente dinanzi alla Corte di giustizia – il successivo giudice nazionale, non di ultima istanza, cui sia sottoposta una controversia sullo stesso punto, la cui soluzione dipende anch’essa dalla decisione che verrà adottata dalla giustizia comunitaria, può legittimamente sospendere, in attesa della pronunzia, il giudizio avanti a lui pendente, senza che sia necessario, a tal fine, che sollevi a sua volta la medesima questione dinanzi alla giustizia comunitaria</w:t>
      </w:r>
      <w:r w:rsidR="00FB1A07" w:rsidRPr="007574F4">
        <w:rPr>
          <w:rFonts w:ascii="Times New Roman" w:hAnsi="Times New Roman"/>
          <w:spacing w:val="-2"/>
        </w:rPr>
        <w:t>»</w:t>
      </w:r>
      <w:r w:rsidRPr="007574F4">
        <w:rPr>
          <w:rStyle w:val="Rimandonotaapidipagina"/>
          <w:spacing w:val="-2"/>
        </w:rPr>
        <w:t> </w:t>
      </w:r>
      <w:r w:rsidRPr="007574F4">
        <w:rPr>
          <w:rStyle w:val="Rimandonotaapidipagina"/>
          <w:spacing w:val="-2"/>
        </w:rPr>
        <w:footnoteReference w:id="188"/>
      </w:r>
      <w:r w:rsidRPr="007574F4">
        <w:rPr>
          <w:spacing w:val="-2"/>
        </w:rPr>
        <w:t>. La sospensione del giudizio in attesa della soluzione pregiudiziale in altro giudizio è riconosciuta dalla giurisprudenza amministrativa</w:t>
      </w:r>
      <w:r w:rsidRPr="007574F4">
        <w:rPr>
          <w:rStyle w:val="Rimandonotaapidipagina"/>
          <w:spacing w:val="-2"/>
        </w:rPr>
        <w:t> </w:t>
      </w:r>
      <w:r w:rsidRPr="007574F4">
        <w:rPr>
          <w:rStyle w:val="Rimandonotaapidipagina"/>
          <w:spacing w:val="-2"/>
        </w:rPr>
        <w:footnoteReference w:id="189"/>
      </w:r>
      <w:r w:rsidRPr="007574F4">
        <w:rPr>
          <w:spacing w:val="-2"/>
        </w:rPr>
        <w:t>.</w:t>
      </w:r>
    </w:p>
    <w:p w14:paraId="3F8502F6" w14:textId="77777777" w:rsidR="002C4301" w:rsidRPr="00067EB0" w:rsidRDefault="002C4301" w:rsidP="002C4301">
      <w:pPr>
        <w:pStyle w:val="Capoverso"/>
      </w:pPr>
      <w:r w:rsidRPr="00067EB0">
        <w:t xml:space="preserve">La </w:t>
      </w:r>
      <w:r w:rsidRPr="00AE6D2D">
        <w:rPr>
          <w:i/>
        </w:rPr>
        <w:t>riassunzione</w:t>
      </w:r>
      <w:r w:rsidRPr="00067EB0">
        <w:t xml:space="preserve"> del processo all’esito della decisione della Corte di giustizia è anch’essa regolata, in assenza di regole comuni, dalla disciplina processuale interna. Appare corretto ritenere applicabile per analogia, nel processo civile, il termine (previsto per altre ipotesi di sospensione) di sei mesi, decorrente dal momento in cui le parti hanno conoscenza del provvedimento, vale a dire il giorno della pronuncia della Corte in pubblica udienza.</w:t>
      </w:r>
    </w:p>
    <w:p w14:paraId="6CCF7D7E" w14:textId="77777777" w:rsidR="002C4301" w:rsidRPr="00067EB0" w:rsidRDefault="002C4301" w:rsidP="002C4301">
      <w:pPr>
        <w:pStyle w:val="Capoverso"/>
      </w:pPr>
      <w:r w:rsidRPr="00067EB0">
        <w:t>In caso di eventuali contestazioni avverso il provvedimento che dispone il rinvio, a differenza di quanto avviene in altri Paesi membri, l’ordinamento italiano non prevede un sistema di impugnazione. La Corte di Cassazione ritiene infatti che l’ordinanza che dispone il rinvio pregiudiziale non sia impugnabile con regolamento di competenza</w:t>
      </w:r>
      <w:r w:rsidRPr="006E1027">
        <w:rPr>
          <w:rStyle w:val="Rimandonotaapidipagina"/>
        </w:rPr>
        <w:t> </w:t>
      </w:r>
      <w:r w:rsidRPr="006E1027">
        <w:rPr>
          <w:rStyle w:val="Rimandonotaapidipagina"/>
        </w:rPr>
        <w:footnoteReference w:id="190"/>
      </w:r>
      <w:r w:rsidRPr="00067EB0">
        <w:t>, mentre è revocabile o modificabile da parte dello stesso giudice che l’ha emessa.</w:t>
      </w:r>
    </w:p>
    <w:p w14:paraId="6F0E3AB7" w14:textId="77777777" w:rsidR="002C4301" w:rsidRPr="00E07EBF" w:rsidRDefault="002C4301" w:rsidP="002C4301">
      <w:pPr>
        <w:pStyle w:val="Capoverso"/>
        <w:rPr>
          <w:spacing w:val="2"/>
        </w:rPr>
      </w:pPr>
      <w:r w:rsidRPr="00E07EBF">
        <w:rPr>
          <w:spacing w:val="2"/>
        </w:rPr>
        <w:t xml:space="preserve">Quanto agli </w:t>
      </w:r>
      <w:r w:rsidRPr="00E07EBF">
        <w:rPr>
          <w:i/>
          <w:spacing w:val="2"/>
        </w:rPr>
        <w:t>effetti extraprocessuali</w:t>
      </w:r>
      <w:r w:rsidRPr="00E07EBF">
        <w:rPr>
          <w:spacing w:val="2"/>
        </w:rPr>
        <w:t xml:space="preserve"> della pronuncia pregiudiziale interpretativa, la soluzione della Corte di giustizia è condivisa dalla Corte di Cassazione, la quale in una sentenza ha affermato che «i principi [...] affermati dalla giurisprudenza comunitaria superano i limiti del giudizio in cui sono stati pronunciati. [...] Ciò è naturale corollario, dal punto di vista sistematico della “ratio” della norma dell’art. 177 [oggi art. 267] del Trattato, che affida alla Corte europea l’interpretazione delle norme comunitarie, ed essendo evidente, secondo comune razionalità, che il contenuto interpretativo della sentenza comunitaria, pur emesso per il caso concreto, abbia effetto per la fattispecie astratta in cui questo si inquadra»</w:t>
      </w:r>
      <w:r w:rsidRPr="00E07EBF">
        <w:rPr>
          <w:rStyle w:val="Rimandonotaapidipagina"/>
          <w:spacing w:val="2"/>
        </w:rPr>
        <w:t> </w:t>
      </w:r>
      <w:r w:rsidRPr="00E07EBF">
        <w:rPr>
          <w:rStyle w:val="Rimandonotaapidipagina"/>
          <w:spacing w:val="2"/>
        </w:rPr>
        <w:footnoteReference w:id="191"/>
      </w:r>
      <w:r w:rsidRPr="00E07EBF">
        <w:rPr>
          <w:spacing w:val="2"/>
        </w:rPr>
        <w:t xml:space="preserve">. Conseguenza di questa interpretazione è il diritto di sottoporre a gravame la sentenza che non si adegui alla giurisprudenza della Corte di giustizia, sia in sede di appello, sia con ricorso in Cassazione </w:t>
      </w:r>
      <w:r w:rsidRPr="00E07EBF">
        <w:rPr>
          <w:i/>
          <w:spacing w:val="2"/>
        </w:rPr>
        <w:t>ex</w:t>
      </w:r>
      <w:r w:rsidRPr="00E07EBF">
        <w:rPr>
          <w:spacing w:val="2"/>
        </w:rPr>
        <w:t xml:space="preserve"> art. 360, n. 3, c.p.c. Va da sé che l’efficacia di cosa giudicata formale e sostanziale esclude che una sentenza pregiudiziale intervenuta successivamente alla definizione del giudizio nazionale possa mettere in discussione la soluzione raggiunta nel processo nazionale, a meno che l’ordinamento nazionale non contempli un’ulteriore soluzione per rimediare a questa situazione ormai definitiva. Tuttavia, il diritto italiano non consente al singolo di contestare dinanzi alla Cassazione, per motivi inerenti alla giurisdizione, la conformità di una sentenza del supremo organo della giustizia amministrativa</w:t>
      </w:r>
      <w:r w:rsidRPr="00E07EBF">
        <w:rPr>
          <w:rStyle w:val="Rimandonotaapidipagina"/>
          <w:spacing w:val="2"/>
        </w:rPr>
        <w:t> </w:t>
      </w:r>
      <w:r w:rsidRPr="00E07EBF">
        <w:rPr>
          <w:rStyle w:val="Rimandonotaapidipagina"/>
          <w:spacing w:val="2"/>
        </w:rPr>
        <w:footnoteReference w:id="192"/>
      </w:r>
      <w:r w:rsidRPr="00E07EBF">
        <w:rPr>
          <w:spacing w:val="2"/>
        </w:rPr>
        <w:t xml:space="preserve"> né di utilizzare il rimedio della revocazione nel</w:t>
      </w:r>
      <w:r w:rsidR="000870B9" w:rsidRPr="00E07EBF">
        <w:rPr>
          <w:spacing w:val="2"/>
        </w:rPr>
        <w:softHyphen/>
      </w:r>
      <w:r w:rsidRPr="00E07EBF">
        <w:rPr>
          <w:spacing w:val="2"/>
        </w:rPr>
        <w:t>l’ipotesi in cui il Consiglio di Stato non abbia tenuto conto dell’interpretazione del diritto dell’Unione fornita dalla Corte di giustizia in risposta alla sua domanda di pronuncia pregiudiziale</w:t>
      </w:r>
      <w:r w:rsidRPr="00E07EBF">
        <w:rPr>
          <w:rStyle w:val="Rimandonotaapidipagina"/>
          <w:spacing w:val="2"/>
        </w:rPr>
        <w:t> </w:t>
      </w:r>
      <w:r w:rsidRPr="00E07EBF">
        <w:rPr>
          <w:rStyle w:val="Rimandonotaapidipagina"/>
          <w:spacing w:val="2"/>
        </w:rPr>
        <w:footnoteReference w:id="193"/>
      </w:r>
      <w:r w:rsidRPr="00E07EBF">
        <w:rPr>
          <w:spacing w:val="2"/>
        </w:rPr>
        <w:t>. È prevalsa quindi l’esigenza di preservare l’autorità del giudicato e, più in generale, l’autonomia procedurale dello Stato italiano. Tali preclusioni derivanti dalla normativa italiana, ritenute legittime dalla Corte di giustizia, conducono inevitabilmente a spostare l’attenzione a livello nazionale sull’azione risarcitoria, fermo restando la possibilità di richiedere alla Commissione di avviare una procedura di infrazione o di promuovere un ricorso alla Corte europea dei diritti dell’uomo.</w:t>
      </w:r>
    </w:p>
    <w:p w14:paraId="0FEF66B6" w14:textId="77777777" w:rsidR="002C4301" w:rsidRPr="007574F4" w:rsidRDefault="002C4301" w:rsidP="002C4301">
      <w:pPr>
        <w:pStyle w:val="Capoverso"/>
        <w:rPr>
          <w:spacing w:val="2"/>
        </w:rPr>
      </w:pPr>
      <w:r w:rsidRPr="007574F4">
        <w:rPr>
          <w:spacing w:val="2"/>
        </w:rPr>
        <w:t xml:space="preserve">Nella prassi, il sistema del rinvio pregiudiziale ha trovato subito terreno fertile nelle aule giudiziarie italiane, alle quali si devono anzi le sollecitazioni – spesso accompagnate da apprezzabili tesi giuridiche – in merito ad alcune delle più rilevanti pronunce pregiudiziali della Corte di giustizia. Solo per fornire alcuni esempi, si ricordi che la sentenza </w:t>
      </w:r>
      <w:r w:rsidRPr="007574F4">
        <w:rPr>
          <w:i/>
          <w:spacing w:val="2"/>
        </w:rPr>
        <w:t>Costa c. Enel</w:t>
      </w:r>
      <w:r w:rsidRPr="007574F4">
        <w:rPr>
          <w:spacing w:val="2"/>
        </w:rPr>
        <w:t xml:space="preserve">, fondamentale in tema di rapporti tra ordinamento comunitario ed ordinamento interno, è stata pronunciata in risposta ai quesiti pregiudiziali rivolti dal giudice conciliatore di Milano. Così, la sentenza </w:t>
      </w:r>
      <w:r w:rsidRPr="007574F4">
        <w:rPr>
          <w:i/>
          <w:spacing w:val="2"/>
        </w:rPr>
        <w:t>Francovich</w:t>
      </w:r>
      <w:r w:rsidRPr="007574F4">
        <w:rPr>
          <w:spacing w:val="2"/>
        </w:rPr>
        <w:t xml:space="preserve">, prima pronuncia in merito alla responsabilità patrimoniale degli Stati per violazione del diritto comunitario, consegue ad un rinvio pregiudiziale operato dal pretore di Bassano del Grappa. Il Tribunale di Firenze ha sottoposto alla Corte di giustizia, per la prima volta, quesiti pregiudiziali attinenti all’incidenza delle decisioni quadro in materia di cooperazione penale sulle regole interne (causa </w:t>
      </w:r>
      <w:r w:rsidRPr="007574F4">
        <w:rPr>
          <w:i/>
          <w:spacing w:val="2"/>
        </w:rPr>
        <w:t>Pupino</w:t>
      </w:r>
      <w:r w:rsidRPr="007574F4">
        <w:rPr>
          <w:spacing w:val="2"/>
        </w:rPr>
        <w:t>)</w:t>
      </w:r>
      <w:r w:rsidRPr="007574F4">
        <w:rPr>
          <w:rStyle w:val="Rimandonotaapidipagina"/>
          <w:spacing w:val="2"/>
        </w:rPr>
        <w:t> </w:t>
      </w:r>
      <w:r w:rsidRPr="007574F4">
        <w:rPr>
          <w:rStyle w:val="Rimandonotaapidipagina"/>
          <w:spacing w:val="2"/>
        </w:rPr>
        <w:footnoteReference w:id="194"/>
      </w:r>
      <w:r w:rsidRPr="007574F4">
        <w:rPr>
          <w:spacing w:val="2"/>
        </w:rPr>
        <w:t xml:space="preserve">. A ben vedere, inizialmente sono stati soprattutto i c.d. “piccoli giudici” (tribunali di primo grado, pretori) ad avvalersi del rinvio pregiudiziale, mentre attualmente anche i giudici di ultima istanza risultano particolarmente attivi. Nell’ordinamento italiano sono considerati giudici di ultima istanza la Corte di Cassazione, il Consiglio di Stato e la Corte dei </w:t>
      </w:r>
      <w:r w:rsidR="00FA4787" w:rsidRPr="007574F4">
        <w:rPr>
          <w:spacing w:val="2"/>
        </w:rPr>
        <w:t>c</w:t>
      </w:r>
      <w:r w:rsidRPr="007574F4">
        <w:rPr>
          <w:spacing w:val="2"/>
        </w:rPr>
        <w:t>onti nel</w:t>
      </w:r>
      <w:r w:rsidR="000870B9" w:rsidRPr="007574F4">
        <w:rPr>
          <w:spacing w:val="2"/>
        </w:rPr>
        <w:softHyphen/>
      </w:r>
      <w:r w:rsidRPr="007574F4">
        <w:rPr>
          <w:spacing w:val="2"/>
        </w:rPr>
        <w:t>l’esercizio delle loro funzioni giurisdizionali. Non vi è dubbio che anche la Corte Costituzionale rientra nella nozione di giurisdizione superiore nell’ipotesi in cui sia adita in via principale, in quanto organo di unica e ultima istanza</w:t>
      </w:r>
      <w:r w:rsidRPr="007574F4">
        <w:rPr>
          <w:rStyle w:val="Rimandonotaapidipagina"/>
          <w:spacing w:val="2"/>
        </w:rPr>
        <w:t> </w:t>
      </w:r>
      <w:r w:rsidRPr="007574F4">
        <w:rPr>
          <w:rStyle w:val="Rimandonotaapidipagina"/>
          <w:spacing w:val="2"/>
        </w:rPr>
        <w:footnoteReference w:id="195"/>
      </w:r>
      <w:r w:rsidRPr="007574F4">
        <w:rPr>
          <w:spacing w:val="2"/>
        </w:rPr>
        <w:t>, mentre non sembra definitivamente chiarito se abbia un obbligo o una facoltà di ricorrere alla Corte di giustizia nei giudizi incidentali di legittimità costituzionale.</w:t>
      </w:r>
    </w:p>
    <w:p w14:paraId="6E43FAB4" w14:textId="77777777" w:rsidR="002C4301" w:rsidRPr="007574F4" w:rsidRDefault="002C4301" w:rsidP="002C4301">
      <w:pPr>
        <w:pStyle w:val="Capoverso"/>
        <w:rPr>
          <w:spacing w:val="2"/>
        </w:rPr>
      </w:pPr>
      <w:r w:rsidRPr="007574F4">
        <w:rPr>
          <w:spacing w:val="2"/>
        </w:rPr>
        <w:t>Nel complesso, le giurisdizioni italiane rivestono un ruolo di primaria importanza, sia dal punto di vista qualitativo, per la rilevanza delle questioni sollevate, sia dal punto di vista quantitativo, risultando nel quinquennio 2019-2023 al secondo posto per numero di rinvii pregiudiziali sottoposti alla Corte di giustizia</w:t>
      </w:r>
      <w:r w:rsidRPr="007574F4">
        <w:rPr>
          <w:rStyle w:val="Rimandonotaapidipagina"/>
          <w:spacing w:val="2"/>
        </w:rPr>
        <w:t> </w:t>
      </w:r>
      <w:r w:rsidRPr="007574F4">
        <w:rPr>
          <w:rStyle w:val="Rimandonotaapidipagina"/>
          <w:spacing w:val="2"/>
        </w:rPr>
        <w:footnoteReference w:id="196"/>
      </w:r>
      <w:r w:rsidRPr="007574F4">
        <w:rPr>
          <w:spacing w:val="2"/>
        </w:rPr>
        <w:t>.</w:t>
      </w:r>
    </w:p>
    <w:p w14:paraId="40F5BA23" w14:textId="77777777" w:rsidR="002C4301" w:rsidRPr="00AE6D2D" w:rsidRDefault="002C4301" w:rsidP="002C4301">
      <w:pPr>
        <w:pStyle w:val="Paragrafo"/>
        <w:rPr>
          <w:i/>
          <w:szCs w:val="24"/>
        </w:rPr>
      </w:pPr>
      <w:r w:rsidRPr="00190E78">
        <w:t>Bibliografia</w:t>
      </w:r>
      <w:r>
        <w:t xml:space="preserve"> </w:t>
      </w:r>
      <w:r w:rsidRPr="002F2A96">
        <w:t>essenziale</w:t>
      </w:r>
    </w:p>
    <w:p w14:paraId="2DF2962D" w14:textId="573F68B8" w:rsidR="002C4301" w:rsidRPr="007574F4" w:rsidRDefault="002C4301" w:rsidP="002C4301">
      <w:pPr>
        <w:pStyle w:val="Bibliografia"/>
        <w:rPr>
          <w:spacing w:val="2"/>
          <w:szCs w:val="20"/>
        </w:rPr>
      </w:pPr>
      <w:r w:rsidRPr="007574F4">
        <w:rPr>
          <w:smallCaps/>
          <w:spacing w:val="2"/>
        </w:rPr>
        <w:t>A. Adinolfi</w:t>
      </w:r>
      <w:r w:rsidRPr="007574F4">
        <w:rPr>
          <w:spacing w:val="2"/>
        </w:rPr>
        <w:t xml:space="preserve">, </w:t>
      </w:r>
      <w:r w:rsidRPr="007574F4">
        <w:rPr>
          <w:i/>
          <w:spacing w:val="2"/>
        </w:rPr>
        <w:t>L’accertamento in via pregiudiziale della validità di atti comunitari</w:t>
      </w:r>
      <w:r w:rsidRPr="007574F4">
        <w:rPr>
          <w:spacing w:val="2"/>
        </w:rPr>
        <w:t>, Giuffrè, Milano, 1997;</w:t>
      </w:r>
      <w:r w:rsidRPr="007574F4">
        <w:rPr>
          <w:smallCaps/>
          <w:spacing w:val="2"/>
        </w:rPr>
        <w:t xml:space="preserve"> J. Alberti</w:t>
      </w:r>
      <w:r w:rsidRPr="007574F4">
        <w:rPr>
          <w:spacing w:val="2"/>
        </w:rPr>
        <w:t xml:space="preserve">, </w:t>
      </w:r>
      <w:r w:rsidRPr="007574F4">
        <w:rPr>
          <w:i/>
          <w:spacing w:val="2"/>
        </w:rPr>
        <w:t>Il trasferimento del rinvio pregiudiziale al Tribunale, all’alba della sua entrata in vigore</w:t>
      </w:r>
      <w:r w:rsidRPr="007574F4">
        <w:rPr>
          <w:spacing w:val="2"/>
        </w:rPr>
        <w:t xml:space="preserve">, in </w:t>
      </w:r>
      <w:r w:rsidRPr="007574F4">
        <w:rPr>
          <w:i/>
          <w:spacing w:val="2"/>
        </w:rPr>
        <w:t>Blog AISDUE</w:t>
      </w:r>
      <w:r w:rsidRPr="007574F4">
        <w:rPr>
          <w:spacing w:val="2"/>
        </w:rPr>
        <w:t xml:space="preserve">, fascicolo speciale 1, 2024; </w:t>
      </w:r>
      <w:r w:rsidRPr="007574F4">
        <w:rPr>
          <w:smallCaps/>
          <w:spacing w:val="2"/>
        </w:rPr>
        <w:t>J. Alberti</w:t>
      </w:r>
      <w:r w:rsidRPr="007574F4">
        <w:rPr>
          <w:spacing w:val="2"/>
        </w:rPr>
        <w:t>-</w:t>
      </w:r>
      <w:r w:rsidRPr="007574F4">
        <w:rPr>
          <w:smallCaps/>
          <w:spacing w:val="2"/>
        </w:rPr>
        <w:t>G. De Cristofaro</w:t>
      </w:r>
      <w:r w:rsidRPr="007574F4">
        <w:rPr>
          <w:spacing w:val="2"/>
        </w:rPr>
        <w:t xml:space="preserve"> (a cura di), </w:t>
      </w:r>
      <w:r w:rsidRPr="007574F4">
        <w:rPr>
          <w:i/>
          <w:spacing w:val="2"/>
        </w:rPr>
        <w:t>Il rinvio pregiudiziale come strumento di sviluppo degli ordinamenti: atti del convegno del dottorato in diritto dell’Unione europea e ordinamenti nazionali</w:t>
      </w:r>
      <w:r w:rsidRPr="007574F4">
        <w:rPr>
          <w:spacing w:val="2"/>
        </w:rPr>
        <w:t xml:space="preserve">, Pacini Giuridica, Pisa, 2023; </w:t>
      </w:r>
      <w:r w:rsidRPr="007574F4">
        <w:rPr>
          <w:smallCaps/>
          <w:spacing w:val="2"/>
        </w:rPr>
        <w:t>C. Amalfitano</w:t>
      </w:r>
      <w:r w:rsidRPr="007574F4">
        <w:rPr>
          <w:spacing w:val="2"/>
        </w:rPr>
        <w:t xml:space="preserve">, </w:t>
      </w:r>
      <w:r w:rsidRPr="007574F4">
        <w:rPr>
          <w:i/>
          <w:spacing w:val="2"/>
        </w:rPr>
        <w:t>Il futuro del rinvio pregiudiziale nell’architettura giurisdizionale dell’Unione europea</w:t>
      </w:r>
      <w:r w:rsidRPr="007574F4">
        <w:rPr>
          <w:spacing w:val="2"/>
        </w:rPr>
        <w:t xml:space="preserve">, in </w:t>
      </w:r>
      <w:r w:rsidRPr="007574F4">
        <w:rPr>
          <w:i/>
          <w:spacing w:val="2"/>
        </w:rPr>
        <w:t>Il</w:t>
      </w:r>
      <w:r w:rsidRPr="007574F4">
        <w:rPr>
          <w:spacing w:val="2"/>
        </w:rPr>
        <w:t xml:space="preserve"> </w:t>
      </w:r>
      <w:r w:rsidRPr="007574F4">
        <w:rPr>
          <w:i/>
          <w:spacing w:val="2"/>
        </w:rPr>
        <w:t>Diritto dell’Unione Europea</w:t>
      </w:r>
      <w:r w:rsidRPr="007574F4">
        <w:rPr>
          <w:spacing w:val="2"/>
        </w:rPr>
        <w:t xml:space="preserve">, 2022, p. 501 ss.; </w:t>
      </w:r>
      <w:r w:rsidRPr="007574F4">
        <w:rPr>
          <w:smallCaps/>
          <w:spacing w:val="2"/>
        </w:rPr>
        <w:t>S. Barbieri</w:t>
      </w:r>
      <w:r w:rsidRPr="007574F4">
        <w:rPr>
          <w:spacing w:val="2"/>
        </w:rPr>
        <w:t xml:space="preserve">, </w:t>
      </w:r>
      <w:r w:rsidRPr="007574F4">
        <w:rPr>
          <w:i/>
          <w:iCs/>
          <w:spacing w:val="2"/>
        </w:rPr>
        <w:t>Il rinvio pregiudiziale tra giudici ordinari e Corte Costituzionale: la ragione del conflitto</w:t>
      </w:r>
      <w:r w:rsidRPr="007574F4">
        <w:rPr>
          <w:spacing w:val="2"/>
        </w:rPr>
        <w:t xml:space="preserve">, Jovene, Napoli, 2023; </w:t>
      </w:r>
      <w:r w:rsidRPr="007574F4">
        <w:rPr>
          <w:smallCaps/>
          <w:spacing w:val="2"/>
        </w:rPr>
        <w:t>E. Cimiotta</w:t>
      </w:r>
      <w:r w:rsidRPr="007574F4">
        <w:rPr>
          <w:spacing w:val="2"/>
        </w:rPr>
        <w:t xml:space="preserve">, </w:t>
      </w:r>
      <w:r w:rsidRPr="007574F4">
        <w:rPr>
          <w:i/>
          <w:spacing w:val="2"/>
        </w:rPr>
        <w:t>L’ambito soggettivo di efficacia delle sentenze pregiudiziali della Corte di giustizia dell’Unione europea</w:t>
      </w:r>
      <w:r w:rsidRPr="007574F4">
        <w:rPr>
          <w:spacing w:val="2"/>
        </w:rPr>
        <w:t xml:space="preserve">, Giappichelli, Torino, 2023; </w:t>
      </w:r>
      <w:r w:rsidRPr="007574F4">
        <w:rPr>
          <w:smallCaps/>
          <w:spacing w:val="2"/>
        </w:rPr>
        <w:t>M. Condinanzi</w:t>
      </w:r>
      <w:r w:rsidRPr="007574F4">
        <w:rPr>
          <w:spacing w:val="2"/>
        </w:rPr>
        <w:t>-</w:t>
      </w:r>
      <w:r w:rsidRPr="007574F4">
        <w:rPr>
          <w:smallCaps/>
          <w:spacing w:val="2"/>
        </w:rPr>
        <w:t>R. Mastroianni</w:t>
      </w:r>
      <w:r w:rsidRPr="007574F4">
        <w:rPr>
          <w:spacing w:val="2"/>
        </w:rPr>
        <w:t xml:space="preserve">, </w:t>
      </w:r>
      <w:r w:rsidRPr="007574F4">
        <w:rPr>
          <w:i/>
          <w:iCs/>
          <w:spacing w:val="2"/>
        </w:rPr>
        <w:t>Il rinvio pregiudiziale</w:t>
      </w:r>
      <w:r w:rsidRPr="007574F4">
        <w:rPr>
          <w:spacing w:val="2"/>
        </w:rPr>
        <w:t xml:space="preserve">, in </w:t>
      </w:r>
      <w:r w:rsidR="00FB1A07" w:rsidRPr="007574F4">
        <w:rPr>
          <w:smallCaps/>
          <w:spacing w:val="2"/>
        </w:rPr>
        <w:t>Ead.</w:t>
      </w:r>
      <w:r w:rsidR="00311D0D" w:rsidRPr="007574F4">
        <w:rPr>
          <w:spacing w:val="2"/>
        </w:rPr>
        <w:t xml:space="preserve">, </w:t>
      </w:r>
      <w:r w:rsidRPr="007574F4">
        <w:rPr>
          <w:i/>
          <w:iCs/>
          <w:spacing w:val="2"/>
        </w:rPr>
        <w:t>Il contenzioso dell’Unione europea</w:t>
      </w:r>
      <w:r w:rsidRPr="007574F4">
        <w:rPr>
          <w:spacing w:val="2"/>
        </w:rPr>
        <w:t xml:space="preserve">, Giappichelli, Torino, 2009, p. 186 ss.; </w:t>
      </w:r>
      <w:r w:rsidRPr="007574F4">
        <w:rPr>
          <w:smallCaps/>
          <w:spacing w:val="2"/>
        </w:rPr>
        <w:t>R. Conti</w:t>
      </w:r>
      <w:r w:rsidRPr="007574F4">
        <w:rPr>
          <w:spacing w:val="2"/>
        </w:rPr>
        <w:t xml:space="preserve">, </w:t>
      </w:r>
      <w:r w:rsidRPr="007574F4">
        <w:rPr>
          <w:i/>
          <w:spacing w:val="2"/>
        </w:rPr>
        <w:t>Il rinvio pregiudiziale alla Corte UE: risorsa, problema e principio fondamentale di cooperazione al servizio di una nomofilachia europea</w:t>
      </w:r>
      <w:r w:rsidRPr="007574F4">
        <w:rPr>
          <w:spacing w:val="2"/>
        </w:rPr>
        <w:t xml:space="preserve">, in </w:t>
      </w:r>
      <w:r w:rsidRPr="007574F4">
        <w:rPr>
          <w:i/>
          <w:spacing w:val="2"/>
        </w:rPr>
        <w:t>Europeanrights</w:t>
      </w:r>
      <w:r w:rsidRPr="007574F4">
        <w:rPr>
          <w:spacing w:val="2"/>
        </w:rPr>
        <w:t xml:space="preserve">, 2023; </w:t>
      </w:r>
      <w:r w:rsidRPr="007574F4">
        <w:rPr>
          <w:smallCaps/>
          <w:spacing w:val="2"/>
        </w:rPr>
        <w:t>L. Daniele</w:t>
      </w:r>
      <w:r w:rsidRPr="007574F4">
        <w:rPr>
          <w:spacing w:val="2"/>
        </w:rPr>
        <w:t xml:space="preserve">, </w:t>
      </w:r>
      <w:r w:rsidRPr="007574F4">
        <w:rPr>
          <w:i/>
          <w:iCs/>
          <w:spacing w:val="2"/>
        </w:rPr>
        <w:t>Si può “migliorare” CILFIT?</w:t>
      </w:r>
      <w:r w:rsidRPr="007574F4">
        <w:rPr>
          <w:iCs/>
          <w:spacing w:val="2"/>
        </w:rPr>
        <w:t>,</w:t>
      </w:r>
      <w:r w:rsidRPr="007574F4">
        <w:rPr>
          <w:spacing w:val="2"/>
        </w:rPr>
        <w:t xml:space="preserve"> in </w:t>
      </w:r>
      <w:r w:rsidRPr="007574F4">
        <w:rPr>
          <w:i/>
          <w:iCs/>
          <w:spacing w:val="2"/>
        </w:rPr>
        <w:t>rivista.eurojus.it</w:t>
      </w:r>
      <w:r w:rsidRPr="007574F4">
        <w:rPr>
          <w:spacing w:val="2"/>
        </w:rPr>
        <w:t>, n. 2, 2022, p.</w:t>
      </w:r>
      <w:r w:rsidR="009E447D" w:rsidRPr="007574F4">
        <w:rPr>
          <w:spacing w:val="2"/>
        </w:rPr>
        <w:t xml:space="preserve"> </w:t>
      </w:r>
      <w:r w:rsidRPr="007574F4">
        <w:rPr>
          <w:spacing w:val="2"/>
        </w:rPr>
        <w:t xml:space="preserve">1 ss.; </w:t>
      </w:r>
      <w:r w:rsidRPr="007574F4">
        <w:rPr>
          <w:smallCaps/>
          <w:spacing w:val="2"/>
        </w:rPr>
        <w:t>M. Di Marzio-R. Giordano-A. Panzarola-R. Succio</w:t>
      </w:r>
      <w:r w:rsidRPr="007574F4">
        <w:rPr>
          <w:spacing w:val="2"/>
        </w:rPr>
        <w:t xml:space="preserve">, </w:t>
      </w:r>
      <w:r w:rsidRPr="007574F4">
        <w:rPr>
          <w:i/>
          <w:spacing w:val="2"/>
        </w:rPr>
        <w:t>Il rinvio pregiudiziale e le impugnazioni</w:t>
      </w:r>
      <w:r w:rsidRPr="007574F4">
        <w:rPr>
          <w:spacing w:val="2"/>
        </w:rPr>
        <w:t xml:space="preserve">, Giuffrè, Milano, 2024; </w:t>
      </w:r>
      <w:r w:rsidRPr="007574F4">
        <w:rPr>
          <w:smallCaps/>
          <w:spacing w:val="2"/>
        </w:rPr>
        <w:t>F. Ferraro</w:t>
      </w:r>
      <w:r w:rsidRPr="007574F4">
        <w:rPr>
          <w:spacing w:val="2"/>
        </w:rPr>
        <w:t xml:space="preserve">, </w:t>
      </w:r>
      <w:r w:rsidRPr="007574F4">
        <w:rPr>
          <w:i/>
          <w:iCs/>
          <w:spacing w:val="2"/>
        </w:rPr>
        <w:t>Corte di giustizia e obbligo di rinvio pregiudiziale del giudice di ultima istanza: nihil sub sole novum</w:t>
      </w:r>
      <w:r w:rsidRPr="007574F4">
        <w:rPr>
          <w:spacing w:val="2"/>
        </w:rPr>
        <w:t xml:space="preserve">, in </w:t>
      </w:r>
      <w:r w:rsidRPr="007574F4">
        <w:rPr>
          <w:i/>
          <w:iCs/>
          <w:spacing w:val="2"/>
        </w:rPr>
        <w:t>giustiziainsieme.it</w:t>
      </w:r>
      <w:r w:rsidRPr="007574F4">
        <w:rPr>
          <w:spacing w:val="2"/>
        </w:rPr>
        <w:t xml:space="preserve">, 23 ottobre 2021; </w:t>
      </w:r>
      <w:r w:rsidRPr="007574F4">
        <w:rPr>
          <w:smallCaps/>
          <w:spacing w:val="2"/>
        </w:rPr>
        <w:t xml:space="preserve">F. Ferraro-C. </w:t>
      </w:r>
      <w:r w:rsidRPr="007574F4">
        <w:rPr>
          <w:smallCaps/>
          <w:spacing w:val="2"/>
          <w:lang w:val="fr-FR"/>
        </w:rPr>
        <w:t>Iannone</w:t>
      </w:r>
      <w:r w:rsidRPr="007574F4">
        <w:rPr>
          <w:spacing w:val="2"/>
          <w:lang w:val="fr-FR"/>
        </w:rPr>
        <w:t xml:space="preserve">, </w:t>
      </w:r>
      <w:r w:rsidRPr="007574F4">
        <w:rPr>
          <w:i/>
          <w:iCs/>
          <w:spacing w:val="2"/>
          <w:lang w:val="fr-FR"/>
        </w:rPr>
        <w:t>Il rinvio pregiudiziale</w:t>
      </w:r>
      <w:r w:rsidRPr="007574F4">
        <w:rPr>
          <w:spacing w:val="2"/>
          <w:lang w:val="fr-FR"/>
        </w:rPr>
        <w:t xml:space="preserve">, Giappichelli, Torino, 2020; </w:t>
      </w:r>
      <w:r w:rsidRPr="007574F4">
        <w:rPr>
          <w:smallCaps/>
          <w:spacing w:val="2"/>
          <w:lang w:val="fr-BE"/>
        </w:rPr>
        <w:t>H. Gaudin</w:t>
      </w:r>
      <w:r w:rsidRPr="007574F4">
        <w:rPr>
          <w:spacing w:val="2"/>
          <w:lang w:val="fr-BE"/>
        </w:rPr>
        <w:t xml:space="preserve">, </w:t>
      </w:r>
      <w:r w:rsidRPr="007574F4">
        <w:rPr>
          <w:i/>
          <w:spacing w:val="2"/>
          <w:lang w:val="fr-BE"/>
        </w:rPr>
        <w:t>Le renvoi préjudiciel devant la Cour de justice de l’Union européenne, clé d’un ordre juridique en réseau?</w:t>
      </w:r>
      <w:r w:rsidRPr="007574F4">
        <w:rPr>
          <w:spacing w:val="2"/>
          <w:lang w:val="fr-BE"/>
        </w:rPr>
        <w:t xml:space="preserve">, in </w:t>
      </w:r>
      <w:r w:rsidRPr="007574F4">
        <w:rPr>
          <w:i/>
          <w:spacing w:val="2"/>
          <w:lang w:val="fr-BE"/>
        </w:rPr>
        <w:t>Revue générale du droit on line</w:t>
      </w:r>
      <w:r w:rsidRPr="007574F4">
        <w:rPr>
          <w:spacing w:val="2"/>
          <w:lang w:val="fr-BE"/>
        </w:rPr>
        <w:t>, 2019;</w:t>
      </w:r>
      <w:r w:rsidRPr="007574F4">
        <w:rPr>
          <w:i/>
          <w:spacing w:val="2"/>
          <w:lang w:val="fr-BE"/>
        </w:rPr>
        <w:t xml:space="preserve"> </w:t>
      </w:r>
      <w:r w:rsidRPr="007574F4">
        <w:rPr>
          <w:smallCaps/>
          <w:spacing w:val="2"/>
          <w:lang w:val="fr-FR"/>
        </w:rPr>
        <w:t xml:space="preserve">G. Lattanzi-M. </w:t>
      </w:r>
      <w:r w:rsidRPr="007574F4">
        <w:rPr>
          <w:smallCaps/>
          <w:spacing w:val="2"/>
        </w:rPr>
        <w:t>Maugeri-G. Grasso-L. Calcagno-A. Ciriello</w:t>
      </w:r>
      <w:r w:rsidRPr="007574F4">
        <w:rPr>
          <w:spacing w:val="2"/>
        </w:rPr>
        <w:t xml:space="preserve"> (a cura di), </w:t>
      </w:r>
      <w:r w:rsidRPr="007574F4">
        <w:rPr>
          <w:i/>
          <w:spacing w:val="2"/>
        </w:rPr>
        <w:t>Il diritto europeo e il giudice nazionale</w:t>
      </w:r>
      <w:r w:rsidRPr="007574F4">
        <w:rPr>
          <w:spacing w:val="2"/>
        </w:rPr>
        <w:t>, vol</w:t>
      </w:r>
      <w:r w:rsidR="009E447D" w:rsidRPr="007574F4">
        <w:rPr>
          <w:spacing w:val="2"/>
        </w:rPr>
        <w:t>l</w:t>
      </w:r>
      <w:r w:rsidRPr="007574F4">
        <w:rPr>
          <w:spacing w:val="2"/>
        </w:rPr>
        <w:t xml:space="preserve">. I, II e III, Giuffrè, Milano, 2023; </w:t>
      </w:r>
      <w:r w:rsidRPr="007574F4">
        <w:rPr>
          <w:smallCaps/>
          <w:spacing w:val="2"/>
        </w:rPr>
        <w:t>C. Lacchi</w:t>
      </w:r>
      <w:r w:rsidRPr="007574F4">
        <w:rPr>
          <w:spacing w:val="2"/>
        </w:rPr>
        <w:t xml:space="preserve">, </w:t>
      </w:r>
      <w:r w:rsidRPr="00E07EBF">
        <w:rPr>
          <w:i/>
          <w:spacing w:val="2"/>
          <w:lang w:val="en-GB"/>
        </w:rPr>
        <w:t>Preliminary References to the Court of Justice of the EU and Effective Judicial Protection</w:t>
      </w:r>
      <w:r w:rsidRPr="00E07EBF">
        <w:rPr>
          <w:spacing w:val="2"/>
          <w:lang w:val="en-GB"/>
        </w:rPr>
        <w:t xml:space="preserve">, Larcier, Bruxelles, 2020; </w:t>
      </w:r>
      <w:r w:rsidRPr="00E07EBF">
        <w:rPr>
          <w:smallCaps/>
          <w:spacing w:val="2"/>
          <w:lang w:val="en-GB"/>
        </w:rPr>
        <w:t>K. Lenaerts</w:t>
      </w:r>
      <w:r w:rsidRPr="00E07EBF">
        <w:rPr>
          <w:spacing w:val="2"/>
          <w:lang w:val="en-GB"/>
        </w:rPr>
        <w:t xml:space="preserve">, </w:t>
      </w:r>
      <w:r w:rsidRPr="00E07EBF">
        <w:rPr>
          <w:i/>
          <w:spacing w:val="2"/>
          <w:lang w:val="en-GB"/>
        </w:rPr>
        <w:t>Upholding the Rule of Law through Judicial Dialogue</w:t>
      </w:r>
      <w:r w:rsidRPr="00E07EBF">
        <w:rPr>
          <w:spacing w:val="2"/>
          <w:lang w:val="en-GB"/>
        </w:rPr>
        <w:t xml:space="preserve">, in </w:t>
      </w:r>
      <w:r w:rsidRPr="00E07EBF">
        <w:rPr>
          <w:i/>
          <w:spacing w:val="2"/>
          <w:lang w:val="en-GB"/>
        </w:rPr>
        <w:t>Yearbook of European Law</w:t>
      </w:r>
      <w:r w:rsidRPr="007574F4">
        <w:rPr>
          <w:spacing w:val="2"/>
        </w:rPr>
        <w:t xml:space="preserve">, 2019, p. 1 ss.; </w:t>
      </w:r>
      <w:r w:rsidRPr="007574F4">
        <w:rPr>
          <w:smallCaps/>
          <w:spacing w:val="2"/>
        </w:rPr>
        <w:t>R. Mastroianni</w:t>
      </w:r>
      <w:r w:rsidRPr="007574F4">
        <w:rPr>
          <w:spacing w:val="2"/>
        </w:rPr>
        <w:t xml:space="preserve">, </w:t>
      </w:r>
      <w:r w:rsidRPr="007574F4">
        <w:rPr>
          <w:i/>
          <w:iCs/>
          <w:spacing w:val="2"/>
        </w:rPr>
        <w:t>Il rinvio pregiudiziale alla Corte di giustizia tra tutela dei diritti e tenuta del sistema</w:t>
      </w:r>
      <w:r w:rsidRPr="007574F4">
        <w:rPr>
          <w:spacing w:val="2"/>
        </w:rPr>
        <w:t xml:space="preserve">, in </w:t>
      </w:r>
      <w:r w:rsidRPr="007574F4">
        <w:rPr>
          <w:i/>
          <w:iCs/>
          <w:spacing w:val="2"/>
        </w:rPr>
        <w:t>I Post di AISDUE</w:t>
      </w:r>
      <w:r w:rsidRPr="007574F4">
        <w:rPr>
          <w:spacing w:val="2"/>
        </w:rPr>
        <w:t xml:space="preserve">, III, 2021, p. 1 ss.; </w:t>
      </w:r>
      <w:r w:rsidRPr="007574F4">
        <w:rPr>
          <w:smallCaps/>
          <w:spacing w:val="2"/>
        </w:rPr>
        <w:t>R. Mastroianni</w:t>
      </w:r>
      <w:r w:rsidRPr="007574F4">
        <w:rPr>
          <w:spacing w:val="2"/>
        </w:rPr>
        <w:t xml:space="preserve">, </w:t>
      </w:r>
      <w:r w:rsidRPr="007574F4">
        <w:rPr>
          <w:i/>
          <w:spacing w:val="2"/>
        </w:rPr>
        <w:t>Da Taricco a Bolognesi, passando per la ceramica Sant’Agostino: il difficile cammino verso una nuova sistemazione del rapporto tra Carte e Corti</w:t>
      </w:r>
      <w:r w:rsidRPr="007574F4">
        <w:rPr>
          <w:spacing w:val="2"/>
        </w:rPr>
        <w:t xml:space="preserve">, in </w:t>
      </w:r>
      <w:r w:rsidRPr="007574F4">
        <w:rPr>
          <w:i/>
          <w:spacing w:val="2"/>
        </w:rPr>
        <w:t>Osservatorio delle fonti</w:t>
      </w:r>
      <w:r w:rsidRPr="007574F4">
        <w:rPr>
          <w:spacing w:val="2"/>
        </w:rPr>
        <w:t xml:space="preserve">, n. 1, 2018; </w:t>
      </w:r>
      <w:r w:rsidRPr="007574F4">
        <w:rPr>
          <w:smallCaps/>
          <w:spacing w:val="2"/>
        </w:rPr>
        <w:t>J. Pertek</w:t>
      </w:r>
      <w:r w:rsidRPr="007574F4">
        <w:rPr>
          <w:spacing w:val="2"/>
        </w:rPr>
        <w:t xml:space="preserve">, </w:t>
      </w:r>
      <w:r w:rsidRPr="00E07EBF">
        <w:rPr>
          <w:i/>
          <w:spacing w:val="2"/>
          <w:lang w:val="fr-FR"/>
        </w:rPr>
        <w:t>Le renvoi préjudiciel: droit, liberté ou obligation de coopération des juridictions nationales avec la CJUE</w:t>
      </w:r>
      <w:r w:rsidRPr="007574F4">
        <w:rPr>
          <w:spacing w:val="2"/>
        </w:rPr>
        <w:t xml:space="preserve">, II ed., Bruylant, Bruxelles, 2020; D. </w:t>
      </w:r>
      <w:r w:rsidRPr="007574F4">
        <w:rPr>
          <w:smallCaps/>
          <w:spacing w:val="2"/>
        </w:rPr>
        <w:t>Petri</w:t>
      </w:r>
      <w:r w:rsidRPr="007574F4">
        <w:rPr>
          <w:rFonts w:ascii="Adobe Garamond Pro" w:hAnsi="Adobe Garamond Pro" w:cs="Cambria"/>
          <w:smallCaps/>
          <w:spacing w:val="2"/>
          <w:sz w:val="21"/>
          <w:szCs w:val="21"/>
        </w:rPr>
        <w:t>ć</w:t>
      </w:r>
      <w:r w:rsidRPr="007574F4">
        <w:rPr>
          <w:spacing w:val="2"/>
        </w:rPr>
        <w:t xml:space="preserve">, </w:t>
      </w:r>
      <w:r w:rsidRPr="007574F4">
        <w:rPr>
          <w:i/>
          <w:spacing w:val="2"/>
        </w:rPr>
        <w:t>The Preliminary Ruling Procedure 2.0</w:t>
      </w:r>
      <w:r w:rsidRPr="007574F4">
        <w:rPr>
          <w:spacing w:val="2"/>
        </w:rPr>
        <w:t xml:space="preserve">, in </w:t>
      </w:r>
      <w:r w:rsidRPr="007574F4">
        <w:rPr>
          <w:i/>
          <w:spacing w:val="2"/>
        </w:rPr>
        <w:t>European Papers</w:t>
      </w:r>
      <w:r w:rsidRPr="007574F4">
        <w:rPr>
          <w:spacing w:val="2"/>
        </w:rPr>
        <w:t xml:space="preserve">, 2023, n. 1, p. 25 ss.; </w:t>
      </w:r>
      <w:r w:rsidRPr="007574F4">
        <w:rPr>
          <w:smallCaps/>
          <w:spacing w:val="2"/>
        </w:rPr>
        <w:t>L.S. Rossi</w:t>
      </w:r>
      <w:r w:rsidRPr="007574F4">
        <w:rPr>
          <w:spacing w:val="2"/>
        </w:rPr>
        <w:t xml:space="preserve">, </w:t>
      </w:r>
      <w:r w:rsidRPr="007574F4">
        <w:rPr>
          <w:i/>
          <w:spacing w:val="2"/>
        </w:rPr>
        <w:t>Un dialogo da giudice a giudice – Rinvio pregiudiziale e ruolo dei giudici nazionali nella recente giurisprudenza della Corte di giustizia</w:t>
      </w:r>
      <w:r w:rsidRPr="007574F4">
        <w:rPr>
          <w:spacing w:val="2"/>
        </w:rPr>
        <w:t xml:space="preserve">, in </w:t>
      </w:r>
      <w:r w:rsidRPr="007574F4">
        <w:rPr>
          <w:i/>
          <w:spacing w:val="2"/>
        </w:rPr>
        <w:t>Quaderni AISDUE</w:t>
      </w:r>
      <w:r w:rsidRPr="007574F4">
        <w:rPr>
          <w:spacing w:val="2"/>
        </w:rPr>
        <w:t xml:space="preserve">, 2022, p. 55 ss.; </w:t>
      </w:r>
      <w:r w:rsidRPr="007574F4">
        <w:rPr>
          <w:smallCaps/>
          <w:spacing w:val="2"/>
        </w:rPr>
        <w:t>G. Tesauro</w:t>
      </w:r>
      <w:r w:rsidRPr="007574F4">
        <w:rPr>
          <w:spacing w:val="2"/>
        </w:rPr>
        <w:t xml:space="preserve">, </w:t>
      </w:r>
      <w:r w:rsidRPr="007574F4">
        <w:rPr>
          <w:i/>
          <w:iCs/>
          <w:spacing w:val="2"/>
        </w:rPr>
        <w:t>Sui vincoli del giudice nazionale prima e dopo il rinvio pregiudiziale</w:t>
      </w:r>
      <w:r w:rsidRPr="007574F4">
        <w:rPr>
          <w:spacing w:val="2"/>
        </w:rPr>
        <w:t xml:space="preserve">, in </w:t>
      </w:r>
      <w:r w:rsidRPr="007574F4">
        <w:rPr>
          <w:i/>
          <w:spacing w:val="2"/>
        </w:rPr>
        <w:t>federalismi.it</w:t>
      </w:r>
      <w:r w:rsidRPr="007574F4">
        <w:rPr>
          <w:spacing w:val="2"/>
        </w:rPr>
        <w:t xml:space="preserve">, n. 6, 2020, p. 189 ss.; </w:t>
      </w:r>
      <w:r w:rsidRPr="007574F4">
        <w:rPr>
          <w:smallCaps/>
          <w:spacing w:val="2"/>
        </w:rPr>
        <w:t>A. Tizzano</w:t>
      </w:r>
      <w:r w:rsidRPr="007574F4">
        <w:rPr>
          <w:spacing w:val="2"/>
        </w:rPr>
        <w:t xml:space="preserve">, </w:t>
      </w:r>
      <w:r w:rsidRPr="007574F4">
        <w:rPr>
          <w:i/>
          <w:spacing w:val="2"/>
        </w:rPr>
        <w:t>Il rinvio pregiudiziale e la prassi dei giudici italiani</w:t>
      </w:r>
      <w:r w:rsidRPr="007574F4">
        <w:rPr>
          <w:spacing w:val="2"/>
        </w:rPr>
        <w:t xml:space="preserve">, in </w:t>
      </w:r>
      <w:r w:rsidRPr="007574F4">
        <w:rPr>
          <w:i/>
          <w:spacing w:val="2"/>
        </w:rPr>
        <w:t>Il Diritto dell’Unione Europea</w:t>
      </w:r>
      <w:r w:rsidRPr="007574F4">
        <w:rPr>
          <w:spacing w:val="2"/>
        </w:rPr>
        <w:t>, 2018, p. 403 ss.</w:t>
      </w:r>
    </w:p>
    <w:p w14:paraId="4E77FE6F" w14:textId="77777777" w:rsidR="00487D01" w:rsidRDefault="00487D01" w:rsidP="002C4301">
      <w:pPr>
        <w:pStyle w:val="Capoverso"/>
      </w:pPr>
    </w:p>
    <w:p w14:paraId="6C68CA1A" w14:textId="77777777" w:rsidR="000870B9" w:rsidRDefault="000870B9" w:rsidP="001E4304">
      <w:pPr>
        <w:pStyle w:val="Bibliografia"/>
        <w:rPr>
          <w:szCs w:val="20"/>
        </w:rPr>
      </w:pPr>
      <w:r>
        <w:rPr>
          <w:szCs w:val="20"/>
        </w:rPr>
        <w:br w:type="page"/>
      </w:r>
    </w:p>
    <w:p w14:paraId="0B1E493A" w14:textId="43E108B3" w:rsidR="00252E90" w:rsidRPr="001E4304" w:rsidRDefault="002625AB" w:rsidP="001E4304">
      <w:pPr>
        <w:pStyle w:val="Bibliografia"/>
        <w:rPr>
          <w:szCs w:val="20"/>
        </w:rPr>
      </w:pPr>
      <w:r>
        <w:rPr>
          <w:noProof/>
        </w:rPr>
        <mc:AlternateContent>
          <mc:Choice Requires="wps">
            <w:drawing>
              <wp:anchor distT="0" distB="0" distL="114300" distR="114300" simplePos="0" relativeHeight="251658240" behindDoc="0" locked="0" layoutInCell="1" allowOverlap="1" wp14:anchorId="6E662D00" wp14:editId="2979E208">
                <wp:simplePos x="0" y="0"/>
                <wp:positionH relativeFrom="column">
                  <wp:posOffset>-191770</wp:posOffset>
                </wp:positionH>
                <wp:positionV relativeFrom="paragraph">
                  <wp:posOffset>-499745</wp:posOffset>
                </wp:positionV>
                <wp:extent cx="5136515" cy="445770"/>
                <wp:effectExtent l="0" t="0" r="6985" b="0"/>
                <wp:wrapNone/>
                <wp:docPr id="260657240"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6515" cy="445770"/>
                        </a:xfrm>
                        <a:prstGeom prst="rect">
                          <a:avLst/>
                        </a:prstGeom>
                        <a:solidFill>
                          <a:schemeClr val="bg1">
                            <a:lumMod val="100000"/>
                            <a:lumOff val="0"/>
                          </a:schemeClr>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85F4EB" id="Rettangolo 1" o:spid="_x0000_s1026" style="position:absolute;margin-left:-15.1pt;margin-top:-39.35pt;width:404.45pt;height:3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" fillcolor="white [3212]" strokecolor="white [3212]">
                <v:path arrowok="t"/>
              </v:rect>
            </w:pict>
          </mc:Fallback>
        </mc:AlternateContent>
      </w:r>
    </w:p>
    <w:sectPr w:rsidR="00252E90" w:rsidRPr="001E4304" w:rsidSect="007574F4">
      <w:headerReference w:type="even" r:id="rId7"/>
      <w:headerReference w:type="default" r:id="rId8"/>
      <w:footerReference w:type="even" r:id="rId9"/>
      <w:type w:val="continuous"/>
      <w:pgSz w:w="9639" w:h="13608" w:code="307"/>
      <w:pgMar w:top="1588" w:right="1191" w:bottom="1134" w:left="1191" w:header="1021" w:footer="0" w:gutter="0"/>
      <w:pgNumType w:start="27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CBAD8" w14:textId="77777777" w:rsidR="00381739" w:rsidRDefault="00381739" w:rsidP="001B6603">
      <w:r>
        <w:separator/>
      </w:r>
    </w:p>
    <w:p w14:paraId="5868DF70" w14:textId="77777777" w:rsidR="00381739" w:rsidRDefault="00381739"/>
    <w:p w14:paraId="4A50A5E7" w14:textId="77777777" w:rsidR="00381739" w:rsidRDefault="00381739"/>
  </w:endnote>
  <w:endnote w:type="continuationSeparator" w:id="0">
    <w:p w14:paraId="03744054" w14:textId="77777777" w:rsidR="00381739" w:rsidRDefault="00381739" w:rsidP="001B6603">
      <w:r>
        <w:continuationSeparator/>
      </w:r>
    </w:p>
    <w:p w14:paraId="1DD48041" w14:textId="77777777" w:rsidR="00381739" w:rsidRDefault="00381739"/>
    <w:p w14:paraId="7C48F7C1" w14:textId="77777777" w:rsidR="00381739" w:rsidRDefault="003817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oncini Garamond Std">
    <w:altName w:val="Cambria"/>
    <w:panose1 w:val="00000000000000000000"/>
    <w:charset w:val="00"/>
    <w:family w:val="roman"/>
    <w:notTrueType/>
    <w:pitch w:val="variable"/>
    <w:sig w:usb0="00000003" w:usb1="00000000" w:usb2="00000000" w:usb3="00000000" w:csb0="00000001" w:csb1="00000000"/>
  </w:font>
  <w:font w:name="Friz Quadrata">
    <w:altName w:val="Cambri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oncini Garamond">
    <w:panose1 w:val="00000000000000000000"/>
    <w:charset w:val="00"/>
    <w:family w:val="roman"/>
    <w:notTrueType/>
    <w:pitch w:val="variable"/>
    <w:sig w:usb0="00000003" w:usb1="00000000" w:usb2="00000000" w:usb3="00000000" w:csb0="00000001" w:csb1="00000000"/>
  </w:font>
  <w:font w:name="Times">
    <w:altName w:val="Times Roman"/>
    <w:panose1 w:val="02020603050405020304"/>
    <w:charset w:val="00"/>
    <w:family w:val="auto"/>
    <w:notTrueType/>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Adobe Garamond Pro">
    <w:altName w:val="Garamond"/>
    <w:panose1 w:val="00000000000000000000"/>
    <w:charset w:val="00"/>
    <w:family w:val="roman"/>
    <w:notTrueType/>
    <w:pitch w:val="variable"/>
    <w:sig w:usb0="00000007" w:usb1="00000001" w:usb2="00000000" w:usb3="00000000" w:csb0="00000093" w:csb1="00000000"/>
  </w:font>
  <w:font w:name="SimonciniGaramondStd">
    <w:charset w:val="00"/>
    <w:family w:val="auto"/>
    <w:pitch w:val="default"/>
    <w:sig w:usb0="00000000" w:usb1="00000000" w:usb2="00000000"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CC30" w14:textId="77777777" w:rsidR="008F0581" w:rsidRDefault="008F0581">
    <w:pPr>
      <w:pStyle w:val="Pidipagina"/>
    </w:pPr>
    <w:bookmarkStart w:id="0" w:name="_Hlk137639663"/>
    <w:bookmarkStart w:id="1" w:name="_Hlk137639664"/>
    <w:bookmarkStart w:id="2" w:name="_Hlk137639671"/>
    <w:bookmarkStart w:id="3" w:name="_Hlk137639672"/>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tbl>
      <w:tblPr>
        <w:tblW w:w="0" w:type="auto"/>
        <w:tblBorders>
          <w:bottom w:val="single" w:sz="4" w:space="0" w:color="auto"/>
        </w:tblBorders>
        <w:tblLayout w:type="fixed"/>
        <w:tblCellMar>
          <w:left w:w="0" w:type="dxa"/>
          <w:right w:w="0" w:type="dxa"/>
        </w:tblCellMar>
        <w:tblLook w:val="0000" w:firstRow="0" w:lastRow="0" w:firstColumn="0" w:lastColumn="0" w:noHBand="0" w:noVBand="0"/>
      </w:tblPr>
      <w:tblGrid>
        <w:gridCol w:w="1134"/>
      </w:tblGrid>
      <w:tr w:rsidR="00381739" w:rsidRPr="00912A6A" w14:paraId="063709BC" w14:textId="77777777" w:rsidTr="00C059B9">
        <w:tc>
          <w:tcPr>
            <w:tcW w:w="1134" w:type="dxa"/>
          </w:tcPr>
          <w:p w14:paraId="0EBD10B8" w14:textId="77777777" w:rsidR="00381739" w:rsidRPr="00912A6A" w:rsidRDefault="00381739" w:rsidP="00A46C1A">
            <w:pPr>
              <w:spacing w:line="200" w:lineRule="exact"/>
              <w:rPr>
                <w:rFonts w:ascii="Times New Roman" w:hAnsi="Times New Roman"/>
                <w:sz w:val="16"/>
              </w:rPr>
            </w:pPr>
          </w:p>
        </w:tc>
      </w:tr>
    </w:tbl>
    <w:p w14:paraId="087D2F31" w14:textId="77777777" w:rsidR="00381739" w:rsidRPr="00912A6A" w:rsidRDefault="00381739" w:rsidP="00A46C1A">
      <w:pPr>
        <w:spacing w:line="100" w:lineRule="exact"/>
        <w:rPr>
          <w:rFonts w:ascii="Times New Roman" w:hAnsi="Times New Roman"/>
          <w:sz w:val="10"/>
        </w:rPr>
      </w:pPr>
    </w:p>
  </w:footnote>
  <w:footnote w:type="continuationSeparator" w:id="0">
    <w:tbl>
      <w:tblPr>
        <w:tblW w:w="0" w:type="auto"/>
        <w:tblBorders>
          <w:bottom w:val="single" w:sz="4" w:space="0" w:color="auto"/>
        </w:tblBorders>
        <w:tblLayout w:type="fixed"/>
        <w:tblCellMar>
          <w:left w:w="0" w:type="dxa"/>
          <w:right w:w="0" w:type="dxa"/>
        </w:tblCellMar>
        <w:tblLook w:val="0000" w:firstRow="0" w:lastRow="0" w:firstColumn="0" w:lastColumn="0" w:noHBand="0" w:noVBand="0"/>
      </w:tblPr>
      <w:tblGrid>
        <w:gridCol w:w="1134"/>
      </w:tblGrid>
      <w:tr w:rsidR="00381739" w:rsidRPr="00912A6A" w14:paraId="26FB2FA7" w14:textId="77777777" w:rsidTr="00C059B9">
        <w:tc>
          <w:tcPr>
            <w:tcW w:w="1134" w:type="dxa"/>
          </w:tcPr>
          <w:p w14:paraId="12321924" w14:textId="77777777" w:rsidR="00381739" w:rsidRPr="00912A6A" w:rsidRDefault="00381739" w:rsidP="00A46C1A">
            <w:pPr>
              <w:spacing w:line="200" w:lineRule="exact"/>
              <w:rPr>
                <w:rFonts w:ascii="Times New Roman" w:hAnsi="Times New Roman"/>
                <w:sz w:val="16"/>
              </w:rPr>
            </w:pPr>
          </w:p>
        </w:tc>
      </w:tr>
    </w:tbl>
    <w:p w14:paraId="0D5FEEA4" w14:textId="77777777" w:rsidR="00381739" w:rsidRPr="00912A6A" w:rsidRDefault="00381739" w:rsidP="00A46C1A">
      <w:pPr>
        <w:spacing w:line="100" w:lineRule="exact"/>
        <w:rPr>
          <w:rFonts w:ascii="Times New Roman" w:hAnsi="Times New Roman"/>
          <w:sz w:val="10"/>
        </w:rPr>
      </w:pPr>
    </w:p>
  </w:footnote>
  <w:footnote w:type="continuationNotice" w:id="1">
    <w:p w14:paraId="650ED50D" w14:textId="77777777" w:rsidR="00381739" w:rsidRPr="00A46C1A" w:rsidRDefault="00381739" w:rsidP="00A46C1A">
      <w:pPr>
        <w:rPr>
          <w:rFonts w:ascii="Times New Roman" w:hAnsi="Times New Roman"/>
          <w:sz w:val="2"/>
          <w:szCs w:val="2"/>
        </w:rPr>
      </w:pPr>
    </w:p>
  </w:footnote>
  <w:footnote w:id="2">
    <w:p w14:paraId="44ED8094" w14:textId="77777777" w:rsidR="008F0581" w:rsidRPr="007B7251" w:rsidRDefault="008F0581" w:rsidP="002C4301">
      <w:pPr>
        <w:pStyle w:val="Testonotaapidipagina"/>
        <w:rPr>
          <w:spacing w:val="-2"/>
          <w:szCs w:val="18"/>
        </w:rPr>
      </w:pPr>
      <w:r w:rsidRPr="007B7251">
        <w:rPr>
          <w:rStyle w:val="Rimandonotaapidipagina"/>
          <w:spacing w:val="-2"/>
          <w:szCs w:val="18"/>
        </w:rPr>
        <w:t>*</w:t>
      </w:r>
      <w:r w:rsidRPr="007B7251">
        <w:rPr>
          <w:spacing w:val="-2"/>
          <w:szCs w:val="18"/>
          <w:vertAlign w:val="superscript"/>
        </w:rPr>
        <w:t> </w:t>
      </w:r>
      <w:r w:rsidRPr="007B7251">
        <w:rPr>
          <w:i/>
          <w:spacing w:val="-2"/>
          <w:szCs w:val="18"/>
        </w:rPr>
        <w:t>Le opinioni espresse sono personali dell’A. e non riflettono quelle dell’Istituzione di appartenenza</w:t>
      </w:r>
      <w:r w:rsidRPr="007B7251">
        <w:rPr>
          <w:spacing w:val="-2"/>
          <w:szCs w:val="18"/>
        </w:rPr>
        <w:t>.</w:t>
      </w:r>
    </w:p>
  </w:footnote>
  <w:footnote w:id="3">
    <w:p w14:paraId="666A82BB" w14:textId="4692737B" w:rsidR="008F0581" w:rsidRPr="00475BAB" w:rsidRDefault="008F0581" w:rsidP="002C4301">
      <w:pPr>
        <w:pStyle w:val="Testonotaapidipagina"/>
      </w:pPr>
      <w:r w:rsidRPr="00475BAB">
        <w:rPr>
          <w:szCs w:val="18"/>
        </w:rPr>
        <w:t xml:space="preserve">L’art. 267 TFUE ha una disposizione gemella nel </w:t>
      </w:r>
      <w:r w:rsidR="00462C45">
        <w:rPr>
          <w:szCs w:val="18"/>
        </w:rPr>
        <w:t>Tr. CEEA</w:t>
      </w:r>
      <w:r w:rsidRPr="00475BAB">
        <w:rPr>
          <w:szCs w:val="18"/>
        </w:rPr>
        <w:t xml:space="preserve"> (art. 150), mentre con riguardo al </w:t>
      </w:r>
      <w:r w:rsidR="00462C45">
        <w:rPr>
          <w:szCs w:val="18"/>
        </w:rPr>
        <w:t>Tr.</w:t>
      </w:r>
      <w:r w:rsidRPr="00475BAB">
        <w:rPr>
          <w:szCs w:val="18"/>
        </w:rPr>
        <w:t xml:space="preserve"> CECA – oggi, come noto, non più in vigore – benché l’art. 41 prevedesse soltanto un rinvio pregiudiziale di validità, la Corte di giustizia aveva ammesso la propria competenza a pronunciarsi anche sull’interpretazione degli atti delle istituzioni e del trattato medesimo</w:t>
      </w:r>
      <w:r>
        <w:rPr>
          <w:szCs w:val="18"/>
        </w:rPr>
        <w:t>.</w:t>
      </w:r>
    </w:p>
  </w:footnote>
  <w:footnote w:id="4">
    <w:p w14:paraId="1F263F64" w14:textId="77777777" w:rsidR="008F0581" w:rsidRPr="00464DEB" w:rsidRDefault="008F0581" w:rsidP="002C4301">
      <w:pPr>
        <w:pStyle w:val="Testonotaapidipagina"/>
        <w:rPr>
          <w:szCs w:val="18"/>
          <w:lang w:val="de-DE"/>
        </w:rPr>
      </w:pPr>
      <w:r w:rsidRPr="006E1027">
        <w:rPr>
          <w:rStyle w:val="Rimandonotaapidipagina"/>
          <w:snapToGrid w:val="0"/>
          <w:szCs w:val="18"/>
          <w:u w:color="000000"/>
        </w:rPr>
        <w:footnoteRef/>
      </w:r>
      <w:r>
        <w:rPr>
          <w:snapToGrid w:val="0"/>
          <w:szCs w:val="18"/>
          <w:u w:color="000000"/>
          <w:vertAlign w:val="superscript"/>
          <w:lang w:val="de-DE"/>
        </w:rPr>
        <w:t> </w:t>
      </w:r>
      <w:r w:rsidRPr="00464DEB">
        <w:rPr>
          <w:szCs w:val="18"/>
          <w:lang w:val="de-DE"/>
        </w:rPr>
        <w:t xml:space="preserve">Corte giust., 1° dicembre 1965, 16/65, </w:t>
      </w:r>
      <w:r w:rsidRPr="00AE6D2D">
        <w:rPr>
          <w:i/>
          <w:szCs w:val="18"/>
          <w:lang w:val="de-DE"/>
        </w:rPr>
        <w:t>Schwarze c. Einfuhr– und Vorratsstelle für Getreide und Futtermittel</w:t>
      </w:r>
      <w:r w:rsidRPr="00464DEB">
        <w:rPr>
          <w:szCs w:val="18"/>
          <w:lang w:val="de-DE"/>
        </w:rPr>
        <w:t xml:space="preserve">. V. </w:t>
      </w:r>
      <w:r w:rsidRPr="00AE6D2D">
        <w:rPr>
          <w:i/>
          <w:iCs/>
          <w:szCs w:val="18"/>
          <w:lang w:val="de-DE"/>
        </w:rPr>
        <w:t>supra</w:t>
      </w:r>
      <w:r w:rsidRPr="00464DEB">
        <w:rPr>
          <w:szCs w:val="18"/>
          <w:lang w:val="de-DE"/>
        </w:rPr>
        <w:t>, cap. 3.</w:t>
      </w:r>
    </w:p>
  </w:footnote>
  <w:footnote w:id="5">
    <w:p w14:paraId="195A91AF" w14:textId="77777777" w:rsidR="008F0581" w:rsidRPr="00464DEB" w:rsidRDefault="008F0581" w:rsidP="002C4301">
      <w:pPr>
        <w:pStyle w:val="Testonotaapidipagina"/>
        <w:rPr>
          <w:szCs w:val="18"/>
          <w:lang w:val="de-DE"/>
        </w:rPr>
      </w:pPr>
      <w:r w:rsidRPr="006E1027">
        <w:rPr>
          <w:rStyle w:val="Rimandonotaapidipagina"/>
          <w:snapToGrid w:val="0"/>
          <w:szCs w:val="18"/>
          <w:u w:color="000000"/>
        </w:rPr>
        <w:footnoteRef/>
      </w:r>
      <w:r>
        <w:rPr>
          <w:snapToGrid w:val="0"/>
          <w:szCs w:val="18"/>
          <w:u w:color="000000"/>
          <w:vertAlign w:val="superscript"/>
          <w:lang w:val="de-DE"/>
        </w:rPr>
        <w:t> </w:t>
      </w:r>
      <w:r w:rsidRPr="00464DEB">
        <w:rPr>
          <w:szCs w:val="18"/>
          <w:lang w:val="de-DE"/>
        </w:rPr>
        <w:t xml:space="preserve">Cfr. Corte giust., 16 gennaio 1974, 166/73, </w:t>
      </w:r>
      <w:r w:rsidRPr="00AE6D2D">
        <w:rPr>
          <w:i/>
          <w:szCs w:val="18"/>
          <w:lang w:val="de-DE"/>
        </w:rPr>
        <w:t>Rheinmühlen-Düsseldorf c. Einfuhr</w:t>
      </w:r>
      <w:r>
        <w:rPr>
          <w:i/>
          <w:szCs w:val="18"/>
          <w:lang w:val="de-DE"/>
        </w:rPr>
        <w:t>-</w:t>
      </w:r>
      <w:r w:rsidRPr="00AE6D2D">
        <w:rPr>
          <w:i/>
          <w:szCs w:val="18"/>
          <w:lang w:val="de-DE"/>
        </w:rPr>
        <w:t xml:space="preserve"> und Vorratsstelle für Getreide und Futtermittel</w:t>
      </w:r>
      <w:r w:rsidRPr="00464DEB">
        <w:rPr>
          <w:szCs w:val="18"/>
          <w:lang w:val="de-DE"/>
        </w:rPr>
        <w:t>.</w:t>
      </w:r>
    </w:p>
  </w:footnote>
  <w:footnote w:id="6">
    <w:p w14:paraId="42939C73" w14:textId="6849A66D"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6 ottobre 2021, C-561/19, </w:t>
      </w:r>
      <w:r w:rsidRPr="00AE6D2D">
        <w:rPr>
          <w:i/>
          <w:szCs w:val="18"/>
        </w:rPr>
        <w:t>Consorzio Italian Management e Catania Multiservizi.</w:t>
      </w:r>
    </w:p>
  </w:footnote>
  <w:footnote w:id="7">
    <w:p w14:paraId="33E5B242" w14:textId="77777777" w:rsidR="008F0581" w:rsidRPr="00AE5E64" w:rsidRDefault="008F0581" w:rsidP="002C4301">
      <w:pPr>
        <w:pStyle w:val="Testonotaapidipagina"/>
        <w:rPr>
          <w:szCs w:val="18"/>
          <w:lang w:val="en-US"/>
        </w:rPr>
      </w:pPr>
      <w:r w:rsidRPr="006E1027">
        <w:rPr>
          <w:rStyle w:val="Rimandonotaapidipagina"/>
          <w:snapToGrid w:val="0"/>
          <w:szCs w:val="18"/>
          <w:u w:color="000000"/>
        </w:rPr>
        <w:footnoteRef/>
      </w:r>
      <w:r w:rsidRPr="00AE5E64">
        <w:rPr>
          <w:snapToGrid w:val="0"/>
          <w:szCs w:val="18"/>
          <w:u w:color="000000"/>
          <w:vertAlign w:val="superscript"/>
          <w:lang w:val="en-US"/>
        </w:rPr>
        <w:t> </w:t>
      </w:r>
      <w:r w:rsidRPr="00AE5E64">
        <w:rPr>
          <w:szCs w:val="18"/>
          <w:lang w:val="en-US"/>
        </w:rPr>
        <w:t>Corte giust., 5 febbraio 1963, 26</w:t>
      </w:r>
      <w:r w:rsidRPr="00AE5E64">
        <w:rPr>
          <w:i/>
          <w:szCs w:val="18"/>
          <w:lang w:val="en-US"/>
        </w:rPr>
        <w:t>/62, NV Algemene Transport en Expeditic Onderneming</w:t>
      </w:r>
      <w:r w:rsidRPr="00AE5E64">
        <w:rPr>
          <w:szCs w:val="18"/>
          <w:lang w:val="en-US"/>
        </w:rPr>
        <w:t xml:space="preserve"> </w:t>
      </w:r>
      <w:r w:rsidRPr="00AE5E64">
        <w:rPr>
          <w:i/>
          <w:szCs w:val="18"/>
          <w:lang w:val="en-US"/>
        </w:rPr>
        <w:t>Wan Gend &amp; Loos c. Netherlands Inland Revenue Administration</w:t>
      </w:r>
      <w:r w:rsidRPr="00AE5E64">
        <w:rPr>
          <w:szCs w:val="18"/>
          <w:lang w:val="en-US"/>
        </w:rPr>
        <w:t>.</w:t>
      </w:r>
    </w:p>
  </w:footnote>
  <w:footnote w:id="8">
    <w:p w14:paraId="0DF45696"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14 dicembre 1974, 41/74, </w:t>
      </w:r>
      <w:r w:rsidRPr="00AE6D2D">
        <w:rPr>
          <w:i/>
          <w:szCs w:val="18"/>
        </w:rPr>
        <w:t>Van Duyn c. Home Office</w:t>
      </w:r>
      <w:r w:rsidRPr="00464DEB">
        <w:rPr>
          <w:szCs w:val="18"/>
        </w:rPr>
        <w:t>.</w:t>
      </w:r>
    </w:p>
  </w:footnote>
  <w:footnote w:id="9">
    <w:p w14:paraId="71AA6C57"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15 luglio 1964, 6/64, </w:t>
      </w:r>
      <w:r w:rsidRPr="00AE6D2D">
        <w:rPr>
          <w:i/>
          <w:szCs w:val="18"/>
        </w:rPr>
        <w:t>Costa c. E.N.E.L.</w:t>
      </w:r>
    </w:p>
  </w:footnote>
  <w:footnote w:id="10">
    <w:p w14:paraId="320B3A1F"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19 novembre 1991, C-6/90 e C-9/90, </w:t>
      </w:r>
      <w:r w:rsidRPr="00AE6D2D">
        <w:rPr>
          <w:i/>
          <w:szCs w:val="18"/>
        </w:rPr>
        <w:t>Francovich e Bonifaci c. Italia</w:t>
      </w:r>
      <w:r w:rsidRPr="00464DEB">
        <w:rPr>
          <w:szCs w:val="18"/>
        </w:rPr>
        <w:t>.</w:t>
      </w:r>
    </w:p>
  </w:footnote>
  <w:footnote w:id="11">
    <w:p w14:paraId="73C17C1E" w14:textId="728C6ECB"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Corte giust. (Grande Sez</w:t>
      </w:r>
      <w:r w:rsidR="0024442F">
        <w:rPr>
          <w:szCs w:val="18"/>
        </w:rPr>
        <w:t>.</w:t>
      </w:r>
      <w:r w:rsidRPr="00464DEB">
        <w:rPr>
          <w:szCs w:val="18"/>
        </w:rPr>
        <w:t>), 24 luglio 2023, C</w:t>
      </w:r>
      <w:r w:rsidR="0024442F">
        <w:rPr>
          <w:rFonts w:ascii="Times New Roman" w:hAnsi="Times New Roman"/>
          <w:szCs w:val="18"/>
        </w:rPr>
        <w:t>-</w:t>
      </w:r>
      <w:r w:rsidRPr="00464DEB">
        <w:rPr>
          <w:szCs w:val="18"/>
        </w:rPr>
        <w:t xml:space="preserve">107/23 PPU, </w:t>
      </w:r>
      <w:r w:rsidRPr="00AE6D2D">
        <w:rPr>
          <w:i/>
          <w:szCs w:val="18"/>
        </w:rPr>
        <w:t>Lin</w:t>
      </w:r>
      <w:r w:rsidRPr="00464DEB">
        <w:rPr>
          <w:szCs w:val="18"/>
        </w:rPr>
        <w:t>, punto 76.</w:t>
      </w:r>
    </w:p>
  </w:footnote>
  <w:footnote w:id="12">
    <w:p w14:paraId="60C38854" w14:textId="2434B041"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AE6D2D">
        <w:rPr>
          <w:i/>
          <w:iCs/>
          <w:snapToGrid w:val="0"/>
          <w:szCs w:val="18"/>
          <w:u w:color="000000"/>
        </w:rPr>
        <w:t>Ex multis</w:t>
      </w:r>
      <w:r w:rsidRPr="00464DEB">
        <w:rPr>
          <w:snapToGrid w:val="0"/>
          <w:szCs w:val="18"/>
          <w:u w:color="000000"/>
        </w:rPr>
        <w:t xml:space="preserve">, </w:t>
      </w:r>
      <w:r w:rsidRPr="00464DEB">
        <w:rPr>
          <w:szCs w:val="18"/>
        </w:rPr>
        <w:t>Corte giust. (Grande Sez</w:t>
      </w:r>
      <w:r w:rsidR="0024442F">
        <w:rPr>
          <w:szCs w:val="18"/>
        </w:rPr>
        <w:t>.</w:t>
      </w:r>
      <w:r w:rsidRPr="00464DEB">
        <w:rPr>
          <w:szCs w:val="18"/>
        </w:rPr>
        <w:t>)</w:t>
      </w:r>
      <w:r>
        <w:rPr>
          <w:szCs w:val="18"/>
        </w:rPr>
        <w:t>,</w:t>
      </w:r>
      <w:r w:rsidRPr="00464DEB">
        <w:rPr>
          <w:szCs w:val="18"/>
        </w:rPr>
        <w:t xml:space="preserve"> 9 giugno 2007, C-305/05, </w:t>
      </w:r>
      <w:r w:rsidRPr="00AE6D2D">
        <w:rPr>
          <w:i/>
          <w:szCs w:val="18"/>
        </w:rPr>
        <w:t>Ordine degli avvocati di lingue francese e tedesca c. Consiglio dei ministri</w:t>
      </w:r>
      <w:r w:rsidRPr="00464DEB">
        <w:rPr>
          <w:szCs w:val="18"/>
        </w:rPr>
        <w:t xml:space="preserve">; (ord.), 15 febbraio 2011, C­269/10, </w:t>
      </w:r>
      <w:r w:rsidRPr="00AE6D2D">
        <w:rPr>
          <w:i/>
          <w:iCs/>
          <w:szCs w:val="18"/>
        </w:rPr>
        <w:t>Accor Services France</w:t>
      </w:r>
      <w:r w:rsidRPr="00464DEB">
        <w:rPr>
          <w:szCs w:val="18"/>
        </w:rPr>
        <w:t>.</w:t>
      </w:r>
    </w:p>
  </w:footnote>
  <w:footnote w:id="13">
    <w:p w14:paraId="4851DB0D"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(ord.), 24 ottobre 2001, C-186/01 R, </w:t>
      </w:r>
      <w:r w:rsidRPr="00AE6D2D">
        <w:rPr>
          <w:i/>
          <w:iCs/>
          <w:szCs w:val="18"/>
        </w:rPr>
        <w:t>Dory</w:t>
      </w:r>
      <w:r w:rsidRPr="00464DEB">
        <w:rPr>
          <w:szCs w:val="18"/>
        </w:rPr>
        <w:t>.</w:t>
      </w:r>
    </w:p>
  </w:footnote>
  <w:footnote w:id="14">
    <w:p w14:paraId="074D6814"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Cfr., per tutte, Corte giust., 16 dicembre 1976, 33/76, </w:t>
      </w:r>
      <w:r w:rsidRPr="004050C9">
        <w:rPr>
          <w:i/>
          <w:szCs w:val="18"/>
        </w:rPr>
        <w:t>Rewe-Wentralfinanz EG e Rewe-Zentral AG c. Landwirtschaftskammer für das Saarland</w:t>
      </w:r>
      <w:r w:rsidRPr="00464DEB">
        <w:rPr>
          <w:szCs w:val="18"/>
        </w:rPr>
        <w:t>.</w:t>
      </w:r>
    </w:p>
  </w:footnote>
  <w:footnote w:id="15">
    <w:p w14:paraId="3E89D4AD" w14:textId="77777777" w:rsidR="008F0581" w:rsidRPr="00464DEB" w:rsidRDefault="008F0581" w:rsidP="002C4301">
      <w:pPr>
        <w:pStyle w:val="Testonotaapidipagina"/>
        <w:rPr>
          <w:szCs w:val="18"/>
          <w:lang w:val="de-DE"/>
        </w:rPr>
      </w:pPr>
      <w:r w:rsidRPr="006E1027">
        <w:rPr>
          <w:rStyle w:val="Rimandonotaapidipagina"/>
          <w:snapToGrid w:val="0"/>
          <w:szCs w:val="18"/>
          <w:u w:color="000000"/>
        </w:rPr>
        <w:footnoteRef/>
      </w:r>
      <w:r>
        <w:rPr>
          <w:snapToGrid w:val="0"/>
          <w:szCs w:val="18"/>
          <w:u w:color="000000"/>
          <w:vertAlign w:val="superscript"/>
          <w:lang w:val="de-DE"/>
        </w:rPr>
        <w:t> </w:t>
      </w:r>
      <w:r w:rsidRPr="00464DEB">
        <w:rPr>
          <w:szCs w:val="18"/>
          <w:lang w:val="de-DE"/>
        </w:rPr>
        <w:t xml:space="preserve">Cfr., ad esempio, Corte giust., 16 gennaio 1974, 166/73, </w:t>
      </w:r>
      <w:r w:rsidRPr="00AE6D2D">
        <w:rPr>
          <w:i/>
          <w:szCs w:val="18"/>
          <w:lang w:val="de-DE"/>
        </w:rPr>
        <w:t>Rheinmühlen Düsseldorf c. Einfuhr– und Vorratsstelle für Getreide und Futtermittel</w:t>
      </w:r>
      <w:r w:rsidRPr="00464DEB">
        <w:rPr>
          <w:szCs w:val="18"/>
          <w:lang w:val="de-DE"/>
        </w:rPr>
        <w:t>, p. 33.</w:t>
      </w:r>
    </w:p>
  </w:footnote>
  <w:footnote w:id="16">
    <w:p w14:paraId="48B0D746" w14:textId="7699AE1B"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6 ottobre 2021, C-561/19, </w:t>
      </w:r>
      <w:r w:rsidRPr="00AE6D2D">
        <w:rPr>
          <w:i/>
          <w:szCs w:val="18"/>
        </w:rPr>
        <w:t>Consorzio Italian Management e Catania Multiservizi SpA</w:t>
      </w:r>
      <w:r w:rsidRPr="00464DEB">
        <w:rPr>
          <w:szCs w:val="18"/>
        </w:rPr>
        <w:t>, punto 29.</w:t>
      </w:r>
    </w:p>
  </w:footnote>
  <w:footnote w:id="17">
    <w:p w14:paraId="433F7DE2"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18 luglio 2013, C-136/12, </w:t>
      </w:r>
      <w:r w:rsidRPr="00AE6D2D">
        <w:rPr>
          <w:i/>
          <w:iCs/>
          <w:szCs w:val="18"/>
        </w:rPr>
        <w:t>Consiglio nazionale dei geologi e Autorità garante della concorrenza e del mercato,</w:t>
      </w:r>
      <w:r w:rsidRPr="00464DEB">
        <w:rPr>
          <w:szCs w:val="18"/>
        </w:rPr>
        <w:t xml:space="preserve"> punti 28-31.</w:t>
      </w:r>
    </w:p>
  </w:footnote>
  <w:footnote w:id="18">
    <w:p w14:paraId="75CD1EB1"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In una giurisprudenza costante cfr. da ultimo Corte EDU 6 dicembre 2022, ric, n. 17122/14, </w:t>
      </w:r>
      <w:r w:rsidRPr="00AE6D2D">
        <w:rPr>
          <w:i/>
          <w:szCs w:val="18"/>
        </w:rPr>
        <w:t>Spasov c. Romania</w:t>
      </w:r>
      <w:r w:rsidRPr="00464DEB">
        <w:rPr>
          <w:szCs w:val="18"/>
        </w:rPr>
        <w:t>.</w:t>
      </w:r>
    </w:p>
  </w:footnote>
  <w:footnote w:id="19">
    <w:p w14:paraId="591F531A" w14:textId="77777777" w:rsidR="008F0581" w:rsidRDefault="008F0581">
      <w:pPr>
        <w:pStyle w:val="Testonotaapidipagina"/>
      </w:pPr>
      <w:r>
        <w:rPr>
          <w:rStyle w:val="Rimandonotaapidipagina"/>
        </w:rPr>
        <w:footnoteRef/>
      </w:r>
      <w:r>
        <w:t xml:space="preserve"> Cap. 2, par. 3.</w:t>
      </w:r>
    </w:p>
  </w:footnote>
  <w:footnote w:id="20">
    <w:p w14:paraId="749CC239"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In questo caso, la trasmissione avviene direttamente da parte della cancelleria del Tribunale.</w:t>
      </w:r>
    </w:p>
  </w:footnote>
  <w:footnote w:id="21">
    <w:p w14:paraId="3CD3ED62"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In questo caso, la decisione sul rinvio è adottata, con ordinanza motivata non impugnabile, dalla sezione del Tribunale competente per la causa in questione, sentito l’A.G. (reg. proc. Trib., art. 207, par. 2)</w:t>
      </w:r>
      <w:r>
        <w:rPr>
          <w:szCs w:val="18"/>
        </w:rPr>
        <w:t>.</w:t>
      </w:r>
    </w:p>
  </w:footnote>
  <w:footnote w:id="22">
    <w:p w14:paraId="2946990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In questo caso, la decisione sul rinvio è adottata dalla conferenza plenaria del Tribunale, su proposta della sezione investita della causa (reg. proc. Trib., art. 207, par. 3) ovvero su proposta del presidente o del vicepresidente (par. 4).</w:t>
      </w:r>
    </w:p>
  </w:footnote>
  <w:footnote w:id="23">
    <w:p w14:paraId="14686B05" w14:textId="19DA93AE"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Cfr. Corte giust., 12 dicembre 1990, C-100/89 e C-101/89, </w:t>
      </w:r>
      <w:r w:rsidRPr="00AE6D2D">
        <w:rPr>
          <w:i/>
          <w:szCs w:val="18"/>
        </w:rPr>
        <w:t>Kaefer e Procacci c. Francia</w:t>
      </w:r>
      <w:r w:rsidRPr="00464DEB">
        <w:rPr>
          <w:szCs w:val="18"/>
        </w:rPr>
        <w:t xml:space="preserve">; 12 febbraio 1992, C-260/90, </w:t>
      </w:r>
      <w:r w:rsidRPr="00AE6D2D">
        <w:rPr>
          <w:i/>
          <w:szCs w:val="18"/>
        </w:rPr>
        <w:t>Leplat</w:t>
      </w:r>
      <w:r w:rsidRPr="00464DEB">
        <w:rPr>
          <w:szCs w:val="18"/>
        </w:rPr>
        <w:t xml:space="preserve"> </w:t>
      </w:r>
      <w:r w:rsidRPr="00AE6D2D">
        <w:rPr>
          <w:i/>
          <w:szCs w:val="18"/>
        </w:rPr>
        <w:t>c. Territoire de la Polynésie française</w:t>
      </w:r>
      <w:r w:rsidRPr="00464DEB">
        <w:rPr>
          <w:szCs w:val="18"/>
        </w:rPr>
        <w:t xml:space="preserve">, concernenti questioni pregiudiziali sollevate rispettivamente </w:t>
      </w:r>
      <w:r w:rsidRPr="004050C9">
        <w:rPr>
          <w:szCs w:val="18"/>
        </w:rPr>
        <w:t xml:space="preserve">dal Tribunal administratif e dal Tribunal de Paix di Papetee </w:t>
      </w:r>
      <w:r w:rsidRPr="00464DEB">
        <w:rPr>
          <w:szCs w:val="18"/>
        </w:rPr>
        <w:t>nella Polinesia francese.</w:t>
      </w:r>
    </w:p>
  </w:footnote>
  <w:footnote w:id="24">
    <w:p w14:paraId="630A3642"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Cfr. Corte giust., 4 novembre 1997, C-337/95, </w:t>
      </w:r>
      <w:r w:rsidRPr="00AE6D2D">
        <w:rPr>
          <w:i/>
          <w:szCs w:val="18"/>
        </w:rPr>
        <w:t>Parfums Christian Dior SA and Parfums Christian Dior BV c. Evora BV</w:t>
      </w:r>
      <w:r w:rsidRPr="00464DEB">
        <w:rPr>
          <w:szCs w:val="18"/>
        </w:rPr>
        <w:t>, punti 21-23.</w:t>
      </w:r>
    </w:p>
  </w:footnote>
  <w:footnote w:id="25">
    <w:p w14:paraId="19D06376" w14:textId="77777777" w:rsidR="008F0581" w:rsidRPr="00464DEB" w:rsidRDefault="008F0581" w:rsidP="002C4301">
      <w:pPr>
        <w:pStyle w:val="Testonotaapidipagina"/>
        <w:rPr>
          <w:szCs w:val="18"/>
          <w:lang w:val="de-DE"/>
        </w:rPr>
      </w:pPr>
      <w:r w:rsidRPr="006E1027">
        <w:rPr>
          <w:rStyle w:val="Rimandonotaapidipagina"/>
          <w:snapToGrid w:val="0"/>
          <w:szCs w:val="18"/>
          <w:u w:color="000000"/>
        </w:rPr>
        <w:footnoteRef/>
      </w:r>
      <w:r>
        <w:rPr>
          <w:snapToGrid w:val="0"/>
          <w:szCs w:val="18"/>
          <w:u w:color="000000"/>
          <w:vertAlign w:val="superscript"/>
        </w:rPr>
        <w:t> </w:t>
      </w:r>
      <w:r w:rsidRPr="00464DEB">
        <w:rPr>
          <w:snapToGrid w:val="0"/>
          <w:szCs w:val="18"/>
          <w:u w:color="000000"/>
        </w:rPr>
        <w:t xml:space="preserve">È questo il caso, ad esempio, dell’Ufficio aggiudicazione appalti del Land Tirolo in Austria: </w:t>
      </w:r>
      <w:r w:rsidRPr="00464DEB">
        <w:rPr>
          <w:szCs w:val="18"/>
        </w:rPr>
        <w:t xml:space="preserve">Corte giust., 4 febbraio 1999, C-103/97, </w:t>
      </w:r>
      <w:r w:rsidRPr="00AE6D2D">
        <w:rPr>
          <w:i/>
          <w:szCs w:val="18"/>
        </w:rPr>
        <w:t xml:space="preserve">Josef Köllensperger GmbH &amp; Co. </w:t>
      </w:r>
      <w:r w:rsidRPr="00AE6D2D">
        <w:rPr>
          <w:i/>
          <w:szCs w:val="18"/>
          <w:lang w:val="de-DE"/>
        </w:rPr>
        <w:t>KG e Atzwanger AG c. Gemeindeverband Bezirkskrankenhaus Schwa</w:t>
      </w:r>
      <w:r w:rsidRPr="00464DEB">
        <w:rPr>
          <w:szCs w:val="18"/>
          <w:lang w:val="de-DE"/>
        </w:rPr>
        <w:t>.</w:t>
      </w:r>
    </w:p>
  </w:footnote>
  <w:footnote w:id="26">
    <w:p w14:paraId="6A846567" w14:textId="77777777" w:rsidR="008F0581" w:rsidRPr="00464DEB" w:rsidRDefault="008F0581" w:rsidP="002C4301">
      <w:pPr>
        <w:pStyle w:val="Testonotaapidipagina"/>
        <w:rPr>
          <w:szCs w:val="18"/>
          <w:lang w:val="de-DE"/>
        </w:rPr>
      </w:pPr>
      <w:r w:rsidRPr="006E1027">
        <w:rPr>
          <w:rStyle w:val="Rimandonotaapidipagina"/>
          <w:snapToGrid w:val="0"/>
          <w:szCs w:val="18"/>
          <w:u w:color="000000"/>
        </w:rPr>
        <w:footnoteRef/>
      </w:r>
      <w:r>
        <w:rPr>
          <w:snapToGrid w:val="0"/>
          <w:szCs w:val="18"/>
          <w:u w:color="000000"/>
          <w:vertAlign w:val="superscript"/>
          <w:lang w:val="de-DE"/>
        </w:rPr>
        <w:t> </w:t>
      </w:r>
      <w:r w:rsidRPr="00464DEB">
        <w:rPr>
          <w:szCs w:val="18"/>
          <w:lang w:val="de-DE"/>
        </w:rPr>
        <w:t xml:space="preserve">Corte giust., 27 aprile 2006, C-96/04, </w:t>
      </w:r>
      <w:r w:rsidRPr="00AE6D2D">
        <w:rPr>
          <w:i/>
          <w:szCs w:val="18"/>
          <w:lang w:val="de-DE"/>
        </w:rPr>
        <w:t>Standesamt Stadt Niebüll</w:t>
      </w:r>
      <w:r w:rsidRPr="00464DEB">
        <w:rPr>
          <w:szCs w:val="18"/>
          <w:lang w:val="de-DE"/>
        </w:rPr>
        <w:t>, punto 14.</w:t>
      </w:r>
    </w:p>
  </w:footnote>
  <w:footnote w:id="27">
    <w:p w14:paraId="743321D1"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(ord.), 26 novembre 1999, C-440/98, </w:t>
      </w:r>
      <w:r w:rsidRPr="00AE6D2D">
        <w:rPr>
          <w:i/>
          <w:szCs w:val="18"/>
        </w:rPr>
        <w:t>Radio televisione italiana</w:t>
      </w:r>
      <w:r w:rsidRPr="00464DEB">
        <w:rPr>
          <w:szCs w:val="18"/>
        </w:rPr>
        <w:t xml:space="preserve"> (</w:t>
      </w:r>
      <w:r w:rsidRPr="00AE6D2D">
        <w:rPr>
          <w:i/>
          <w:szCs w:val="18"/>
        </w:rPr>
        <w:t>RAI)</w:t>
      </w:r>
      <w:r w:rsidRPr="00464DEB">
        <w:rPr>
          <w:szCs w:val="18"/>
        </w:rPr>
        <w:t xml:space="preserve">; 26 novembre 1999, C-192/98, </w:t>
      </w:r>
      <w:r w:rsidRPr="00AE6D2D">
        <w:rPr>
          <w:i/>
          <w:szCs w:val="18"/>
        </w:rPr>
        <w:t>Azienda nazionale autonoma delle strade</w:t>
      </w:r>
      <w:r w:rsidRPr="00464DEB">
        <w:rPr>
          <w:szCs w:val="18"/>
        </w:rPr>
        <w:t>.</w:t>
      </w:r>
    </w:p>
  </w:footnote>
  <w:footnote w:id="28">
    <w:p w14:paraId="68A5435D"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19 ottobre 1995, C-111/94, </w:t>
      </w:r>
      <w:r w:rsidRPr="00AE6D2D">
        <w:rPr>
          <w:i/>
          <w:szCs w:val="18"/>
        </w:rPr>
        <w:t>Job Centre Coop. ARL</w:t>
      </w:r>
      <w:r w:rsidRPr="00464DEB">
        <w:rPr>
          <w:szCs w:val="18"/>
        </w:rPr>
        <w:t>.</w:t>
      </w:r>
    </w:p>
  </w:footnote>
  <w:footnote w:id="29">
    <w:p w14:paraId="27162B1E" w14:textId="4D1AE734" w:rsidR="008F0581" w:rsidRDefault="008F0581">
      <w:pPr>
        <w:pStyle w:val="Testonotaapidipagina"/>
      </w:pPr>
      <w:r>
        <w:rPr>
          <w:rStyle w:val="Rimandonotaapidipagina"/>
        </w:rPr>
        <w:footnoteRef/>
      </w:r>
      <w:r w:rsidR="007B7251" w:rsidRPr="007B7251">
        <w:rPr>
          <w:vertAlign w:val="superscript"/>
        </w:rPr>
        <w:t> </w:t>
      </w:r>
      <w:r>
        <w:t>Corte giust. (Grande Sez</w:t>
      </w:r>
      <w:r w:rsidR="0024442F">
        <w:t>.</w:t>
      </w:r>
      <w:r>
        <w:t>)</w:t>
      </w:r>
      <w:r w:rsidRPr="00F15783">
        <w:rPr>
          <w:rFonts w:ascii="Calibri" w:eastAsia="PMingLiU" w:hAnsi="Calibri"/>
          <w:noProof/>
          <w:sz w:val="22"/>
          <w:szCs w:val="18"/>
          <w:lang w:eastAsia="zh-TW"/>
        </w:rPr>
        <w:t xml:space="preserve"> </w:t>
      </w:r>
      <w:r w:rsidRPr="00F15783">
        <w:t xml:space="preserve">21 dicembre 2023, C-718/21, </w:t>
      </w:r>
      <w:r w:rsidRPr="00F15783">
        <w:rPr>
          <w:i/>
          <w:iCs/>
        </w:rPr>
        <w:t>Krajowa Rada S</w:t>
      </w:r>
      <w:r w:rsidRPr="00F15783">
        <w:rPr>
          <w:rFonts w:ascii="Cambria" w:hAnsi="Cambria" w:cs="Cambria"/>
          <w:i/>
          <w:iCs/>
        </w:rPr>
        <w:t>ą</w:t>
      </w:r>
      <w:r w:rsidRPr="00F15783">
        <w:rPr>
          <w:i/>
          <w:iCs/>
        </w:rPr>
        <w:t>downictwa (Permanenza in servizio di un giudice)</w:t>
      </w:r>
      <w:r>
        <w:rPr>
          <w:i/>
          <w:iCs/>
        </w:rPr>
        <w:t>.</w:t>
      </w:r>
    </w:p>
  </w:footnote>
  <w:footnote w:id="30">
    <w:p w14:paraId="14B4BB1E" w14:textId="00988160" w:rsidR="008F0581" w:rsidRPr="004050C9"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11 giugno 1987, 14/86, </w:t>
      </w:r>
      <w:r w:rsidRPr="00AE6D2D">
        <w:rPr>
          <w:i/>
          <w:szCs w:val="18"/>
        </w:rPr>
        <w:t>Pretore di Salò c. X</w:t>
      </w:r>
      <w:r w:rsidRPr="00464DEB">
        <w:rPr>
          <w:szCs w:val="18"/>
        </w:rPr>
        <w:t xml:space="preserve">; 30 marzo 1993, C-24/92, </w:t>
      </w:r>
      <w:r w:rsidRPr="004050C9">
        <w:rPr>
          <w:i/>
          <w:szCs w:val="18"/>
        </w:rPr>
        <w:t>Corbiau c. Administration des contributions</w:t>
      </w:r>
      <w:r w:rsidRPr="004050C9">
        <w:rPr>
          <w:szCs w:val="18"/>
        </w:rPr>
        <w:t>.</w:t>
      </w:r>
    </w:p>
  </w:footnote>
  <w:footnote w:id="31">
    <w:p w14:paraId="747B18FB" w14:textId="77777777" w:rsidR="008F0581" w:rsidRPr="00464DEB" w:rsidRDefault="008F0581" w:rsidP="008F058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21 marzo 2000, da C-110/98 a C-147/98, </w:t>
      </w:r>
      <w:r w:rsidRPr="00AE6D2D">
        <w:rPr>
          <w:i/>
          <w:szCs w:val="18"/>
        </w:rPr>
        <w:t>Gabalfrisa SL e a. c. Agencia Estatal de Administración Tributaria (AEAT)</w:t>
      </w:r>
      <w:r w:rsidR="00396411">
        <w:rPr>
          <w:szCs w:val="18"/>
        </w:rPr>
        <w:t xml:space="preserve"> </w:t>
      </w:r>
      <w:r w:rsidRPr="00464DEB">
        <w:rPr>
          <w:szCs w:val="18"/>
        </w:rPr>
        <w:t>(conclusioni difformi dell’A. G. Saggio).</w:t>
      </w:r>
    </w:p>
  </w:footnote>
  <w:footnote w:id="32">
    <w:p w14:paraId="317A4008" w14:textId="0D80A863" w:rsidR="008F0581" w:rsidRPr="00464DEB" w:rsidRDefault="008F0581" w:rsidP="008F058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21 gennaio 2020, C-274/14, </w:t>
      </w:r>
      <w:r w:rsidRPr="00AE6D2D">
        <w:rPr>
          <w:i/>
          <w:szCs w:val="18"/>
        </w:rPr>
        <w:t>Banco de Santander</w:t>
      </w:r>
      <w:r w:rsidRPr="00464DEB">
        <w:rPr>
          <w:szCs w:val="18"/>
        </w:rPr>
        <w:t>.</w:t>
      </w:r>
    </w:p>
  </w:footnote>
  <w:footnote w:id="33">
    <w:p w14:paraId="39F74DA5" w14:textId="6A727C5A" w:rsidR="008F0581" w:rsidRPr="00464DEB" w:rsidRDefault="008F0581" w:rsidP="008F0581">
      <w:pPr>
        <w:pStyle w:val="Testonotaapidipagina"/>
        <w:rPr>
          <w:szCs w:val="18"/>
        </w:rPr>
      </w:pPr>
      <w:r w:rsidRPr="006E1027">
        <w:rPr>
          <w:rStyle w:val="Rimandonotaapidipagina"/>
          <w:szCs w:val="18"/>
        </w:rPr>
        <w:footnoteRef/>
      </w:r>
      <w:r>
        <w:rPr>
          <w:szCs w:val="18"/>
          <w:vertAlign w:val="superscript"/>
        </w:rPr>
        <w:t> </w:t>
      </w:r>
      <w:r>
        <w:rPr>
          <w:szCs w:val="18"/>
        </w:rPr>
        <w:t>Cfr. anche C</w:t>
      </w:r>
      <w:r w:rsidRPr="00464DEB">
        <w:rPr>
          <w:szCs w:val="18"/>
        </w:rPr>
        <w:t>orte giust. (Grande Sez</w:t>
      </w:r>
      <w:r w:rsidR="0024442F">
        <w:rPr>
          <w:szCs w:val="18"/>
        </w:rPr>
        <w:t>.</w:t>
      </w:r>
      <w:r w:rsidRPr="00464DEB">
        <w:rPr>
          <w:szCs w:val="18"/>
        </w:rPr>
        <w:t xml:space="preserve">), 7 maggio 2024, C-115/22, </w:t>
      </w:r>
      <w:r>
        <w:rPr>
          <w:i/>
          <w:iCs/>
          <w:szCs w:val="18"/>
        </w:rPr>
        <w:t>Nada e a.</w:t>
      </w:r>
      <w:r w:rsidRPr="008F0581">
        <w:rPr>
          <w:iCs/>
          <w:szCs w:val="18"/>
        </w:rPr>
        <w:t>:</w:t>
      </w:r>
      <w:r>
        <w:rPr>
          <w:iCs/>
          <w:szCs w:val="18"/>
        </w:rPr>
        <w:t xml:space="preserve"> </w:t>
      </w:r>
      <w:r w:rsidRPr="008F0581">
        <w:rPr>
          <w:iCs/>
          <w:szCs w:val="18"/>
        </w:rPr>
        <w:t>la Commissione arbitrale austriaca competente in materia di lotta contro il doping è stata esclusa dalla nozione di giurisdizione, in quanto non in grado di soddisfare il requisito dell’indipenden</w:t>
      </w:r>
      <w:r w:rsidRPr="008F0581">
        <w:rPr>
          <w:iCs/>
          <w:szCs w:val="18"/>
        </w:rPr>
        <w:softHyphen/>
        <w:t>za. In particolare, la Corte è pervenuta a questa conclusione, sia perché i membri di tale Commissione possono essere revocati in maniera anticipata dal Ministro competente in ragione di “seri motivi” senza però che tale nozione sia definita nella normativa nazionale, sia perché tale decisione spetta esclusivamente a un membro dell’ese</w:t>
      </w:r>
      <w:r w:rsidRPr="008F0581">
        <w:rPr>
          <w:iCs/>
          <w:szCs w:val="18"/>
        </w:rPr>
        <w:softHyphen/>
        <w:t>cutivo e non sono stati previamente stabiliti criteri e garanzie precise</w:t>
      </w:r>
      <w:r w:rsidRPr="008F0581">
        <w:rPr>
          <w:i/>
          <w:iCs/>
          <w:szCs w:val="18"/>
          <w:vertAlign w:val="superscript"/>
        </w:rPr>
        <w:t> </w:t>
      </w:r>
    </w:p>
  </w:footnote>
  <w:footnote w:id="34">
    <w:p w14:paraId="5F6A8B81" w14:textId="2A27874D" w:rsidR="008F0581" w:rsidRPr="007B7251" w:rsidRDefault="008F0581" w:rsidP="002C4301">
      <w:pPr>
        <w:pStyle w:val="Testonotaapidipagina"/>
        <w:rPr>
          <w:szCs w:val="18"/>
        </w:rPr>
      </w:pPr>
      <w:r w:rsidRPr="006E1027">
        <w:rPr>
          <w:rStyle w:val="Rimandonotaapidipagina"/>
          <w:szCs w:val="18"/>
        </w:rPr>
        <w:footnoteRef/>
      </w:r>
      <w:r w:rsidRPr="007B7251">
        <w:rPr>
          <w:szCs w:val="18"/>
          <w:vertAlign w:val="superscript"/>
        </w:rPr>
        <w:t> </w:t>
      </w:r>
      <w:r w:rsidRPr="007B7251">
        <w:rPr>
          <w:szCs w:val="18"/>
        </w:rPr>
        <w:t xml:space="preserve">Conclusioni dell’A.G. Rantos, del 2 marzo 2023, C-718/21, </w:t>
      </w:r>
      <w:r w:rsidRPr="007B7251">
        <w:rPr>
          <w:i/>
          <w:iCs/>
          <w:szCs w:val="18"/>
        </w:rPr>
        <w:t>Krajowa Rada S</w:t>
      </w:r>
      <w:r w:rsidRPr="007B7251">
        <w:rPr>
          <w:rFonts w:ascii="Adobe Garamond Pro" w:hAnsi="Adobe Garamond Pro" w:cs="Cambria"/>
          <w:i/>
          <w:iCs/>
          <w:sz w:val="20"/>
          <w:szCs w:val="20"/>
        </w:rPr>
        <w:t>ą</w:t>
      </w:r>
      <w:r w:rsidRPr="007B7251">
        <w:rPr>
          <w:i/>
          <w:iCs/>
          <w:szCs w:val="18"/>
        </w:rPr>
        <w:t>downictwa (Maintien en fonctions d’un juge)</w:t>
      </w:r>
      <w:r w:rsidRPr="007B7251">
        <w:rPr>
          <w:szCs w:val="18"/>
        </w:rPr>
        <w:t xml:space="preserve">, </w:t>
      </w:r>
      <w:r w:rsidR="009E65FD">
        <w:rPr>
          <w:szCs w:val="18"/>
        </w:rPr>
        <w:t>punto</w:t>
      </w:r>
      <w:r w:rsidRPr="007B7251">
        <w:rPr>
          <w:szCs w:val="18"/>
        </w:rPr>
        <w:t xml:space="preserve"> 17.</w:t>
      </w:r>
    </w:p>
  </w:footnote>
  <w:footnote w:id="35">
    <w:p w14:paraId="1576C888" w14:textId="5183C366"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w:t>
      </w:r>
      <w:r w:rsidRPr="00464DEB">
        <w:rPr>
          <w:rFonts w:cs="Open Sans"/>
          <w:szCs w:val="18"/>
        </w:rPr>
        <w:t>6 ottobre 2021, C</w:t>
      </w:r>
      <w:r w:rsidRPr="00464DEB">
        <w:rPr>
          <w:rFonts w:cs="Open Sans"/>
          <w:szCs w:val="18"/>
        </w:rPr>
        <w:noBreakHyphen/>
        <w:t xml:space="preserve">487/19, </w:t>
      </w:r>
      <w:r w:rsidRPr="00AE6D2D">
        <w:rPr>
          <w:rFonts w:cs="Open Sans"/>
          <w:i/>
          <w:iCs/>
          <w:szCs w:val="18"/>
        </w:rPr>
        <w:t>W.</w:t>
      </w:r>
      <w:r w:rsidRPr="00EF589E">
        <w:rPr>
          <w:rFonts w:ascii="Adobe Garamond Pro" w:hAnsi="Adobe Garamond Pro" w:cs="Cambria"/>
          <w:i/>
          <w:iCs/>
          <w:sz w:val="20"/>
          <w:szCs w:val="20"/>
        </w:rPr>
        <w:t>Ż</w:t>
      </w:r>
      <w:r w:rsidRPr="00AE6D2D">
        <w:rPr>
          <w:rFonts w:cs="Open Sans"/>
          <w:i/>
          <w:iCs/>
          <w:szCs w:val="18"/>
        </w:rPr>
        <w:t>. (Sezione di controllo straordinario e delle questioni pubbliche della Corte suprema – Nomina).</w:t>
      </w:r>
    </w:p>
  </w:footnote>
  <w:footnote w:id="36">
    <w:p w14:paraId="08F7B5C4" w14:textId="173C4021"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29 marzo 2022, C-132/20, </w:t>
      </w:r>
      <w:r w:rsidRPr="00AE6D2D">
        <w:rPr>
          <w:i/>
          <w:iCs/>
          <w:szCs w:val="18"/>
        </w:rPr>
        <w:t>Getin Noble Bank</w:t>
      </w:r>
      <w:r w:rsidRPr="00464DEB">
        <w:rPr>
          <w:szCs w:val="18"/>
        </w:rPr>
        <w:t>, punti 68 e 69.</w:t>
      </w:r>
    </w:p>
  </w:footnote>
  <w:footnote w:id="37">
    <w:p w14:paraId="2204E81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iCs/>
          <w:szCs w:val="18"/>
        </w:rPr>
        <w:t>Getin Noble Bank</w:t>
      </w:r>
      <w:r w:rsidRPr="00464DEB">
        <w:rPr>
          <w:szCs w:val="18"/>
        </w:rPr>
        <w:t>, cit., punti 68-72.</w:t>
      </w:r>
    </w:p>
  </w:footnote>
  <w:footnote w:id="38">
    <w:p w14:paraId="314768B5"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464DEB">
        <w:rPr>
          <w:rFonts w:cs="Open Sans"/>
          <w:szCs w:val="18"/>
        </w:rPr>
        <w:t>12 maggio 2022, C</w:t>
      </w:r>
      <w:r w:rsidRPr="00464DEB">
        <w:rPr>
          <w:rFonts w:cs="Open Sans"/>
          <w:szCs w:val="18"/>
        </w:rPr>
        <w:noBreakHyphen/>
        <w:t xml:space="preserve">644/20, </w:t>
      </w:r>
      <w:r w:rsidRPr="00AE6D2D">
        <w:rPr>
          <w:rFonts w:cs="Open Sans"/>
          <w:i/>
          <w:iCs/>
          <w:szCs w:val="18"/>
        </w:rPr>
        <w:t xml:space="preserve">W.J. </w:t>
      </w:r>
      <w:r w:rsidRPr="00464DEB">
        <w:rPr>
          <w:rFonts w:cs="Open Sans"/>
          <w:szCs w:val="18"/>
        </w:rPr>
        <w:t>(</w:t>
      </w:r>
      <w:r w:rsidRPr="00AE6D2D">
        <w:rPr>
          <w:rFonts w:cs="Open Sans"/>
          <w:i/>
          <w:iCs/>
          <w:szCs w:val="18"/>
        </w:rPr>
        <w:t>Cambiamento della residenza abituale del creditore di alimenti)</w:t>
      </w:r>
      <w:r w:rsidRPr="00464DEB">
        <w:rPr>
          <w:rFonts w:cs="Open Sans"/>
          <w:szCs w:val="18"/>
        </w:rPr>
        <w:t>, punto 52.</w:t>
      </w:r>
    </w:p>
  </w:footnote>
  <w:footnote w:id="39">
    <w:p w14:paraId="1B88B8C1" w14:textId="02696C79"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21 dicembre 2023, C-718/21, </w:t>
      </w:r>
      <w:r w:rsidRPr="00AE6D2D">
        <w:rPr>
          <w:i/>
          <w:iCs/>
          <w:szCs w:val="18"/>
        </w:rPr>
        <w:t>Krajowa Rada S</w:t>
      </w:r>
      <w:r w:rsidRPr="00EF589E">
        <w:rPr>
          <w:rFonts w:ascii="Adobe Garamond Pro" w:hAnsi="Adobe Garamond Pro" w:cs="Cambria"/>
          <w:i/>
          <w:iCs/>
          <w:sz w:val="20"/>
          <w:szCs w:val="20"/>
        </w:rPr>
        <w:t>ą</w:t>
      </w:r>
      <w:r w:rsidRPr="00AE6D2D">
        <w:rPr>
          <w:i/>
          <w:iCs/>
          <w:szCs w:val="18"/>
        </w:rPr>
        <w:t>downictwa (Permanenza in servizio di un giudice)</w:t>
      </w:r>
      <w:r w:rsidR="00396411">
        <w:rPr>
          <w:szCs w:val="18"/>
        </w:rPr>
        <w:t xml:space="preserve">; 9 aprile 2024 (ord.), C-22/22, T. </w:t>
      </w:r>
      <w:r w:rsidR="00396411" w:rsidRPr="00396411">
        <w:rPr>
          <w:i/>
          <w:szCs w:val="18"/>
        </w:rPr>
        <w:t>(programmi audiovisivi per i minori</w:t>
      </w:r>
      <w:r w:rsidR="00396411">
        <w:rPr>
          <w:szCs w:val="18"/>
        </w:rPr>
        <w:t>).</w:t>
      </w:r>
    </w:p>
  </w:footnote>
  <w:footnote w:id="40">
    <w:p w14:paraId="51BB3E66"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14 dicembre 1971, 43/71, </w:t>
      </w:r>
      <w:r w:rsidRPr="00AE6D2D">
        <w:rPr>
          <w:i/>
          <w:szCs w:val="18"/>
        </w:rPr>
        <w:t>Politi c. Ministero delle finanze</w:t>
      </w:r>
      <w:r w:rsidRPr="00464DEB">
        <w:rPr>
          <w:szCs w:val="18"/>
        </w:rPr>
        <w:t>.</w:t>
      </w:r>
    </w:p>
  </w:footnote>
  <w:footnote w:id="41">
    <w:p w14:paraId="1755B782"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21 febbraio 1974, 162/73, </w:t>
      </w:r>
      <w:r w:rsidRPr="00AE6D2D">
        <w:rPr>
          <w:i/>
          <w:szCs w:val="18"/>
        </w:rPr>
        <w:t>Birra Dreher SpA c. Amministrazione delle finanze dello Stato</w:t>
      </w:r>
      <w:r w:rsidRPr="00464DEB">
        <w:rPr>
          <w:szCs w:val="18"/>
        </w:rPr>
        <w:t xml:space="preserve">. Tra le sentenze che traggono origine da procedimenti italiani di decreto ingiuntivo </w:t>
      </w:r>
      <w:r w:rsidRPr="00AE6D2D">
        <w:rPr>
          <w:i/>
          <w:szCs w:val="18"/>
        </w:rPr>
        <w:t>ex</w:t>
      </w:r>
      <w:r w:rsidRPr="00464DEB">
        <w:rPr>
          <w:szCs w:val="18"/>
        </w:rPr>
        <w:t xml:space="preserve"> artt. 633 ss. c.p.c. cfr. 28 giugno 1978, 70/77, </w:t>
      </w:r>
      <w:r w:rsidRPr="00AE6D2D">
        <w:rPr>
          <w:i/>
          <w:szCs w:val="18"/>
        </w:rPr>
        <w:t>Simmenthal SA c. Amministrazione delle finanze dello Stato</w:t>
      </w:r>
      <w:r w:rsidRPr="00464DEB">
        <w:rPr>
          <w:szCs w:val="18"/>
        </w:rPr>
        <w:t xml:space="preserve">; 20 ottobre 1993, C-10/92, </w:t>
      </w:r>
      <w:r w:rsidRPr="00AE6D2D">
        <w:rPr>
          <w:i/>
          <w:szCs w:val="18"/>
        </w:rPr>
        <w:t>Balocchi c. Ministero delle finanze dello Stato</w:t>
      </w:r>
      <w:r w:rsidRPr="00464DEB">
        <w:rPr>
          <w:szCs w:val="18"/>
        </w:rPr>
        <w:t xml:space="preserve">; 17 maggio 1994, C-18/93, </w:t>
      </w:r>
      <w:r w:rsidRPr="00AE6D2D">
        <w:rPr>
          <w:i/>
          <w:szCs w:val="18"/>
        </w:rPr>
        <w:t>Corsica Ferries Italia</w:t>
      </w:r>
      <w:r w:rsidRPr="00AE6D2D">
        <w:rPr>
          <w:b/>
          <w:i/>
          <w:szCs w:val="18"/>
        </w:rPr>
        <w:t xml:space="preserve"> </w:t>
      </w:r>
      <w:r w:rsidRPr="00AE6D2D">
        <w:rPr>
          <w:i/>
          <w:szCs w:val="18"/>
        </w:rPr>
        <w:t>Srl c. Corpo dei Piloti del Porto di Genova</w:t>
      </w:r>
      <w:r w:rsidRPr="00464DEB">
        <w:rPr>
          <w:szCs w:val="18"/>
        </w:rPr>
        <w:t>.</w:t>
      </w:r>
    </w:p>
  </w:footnote>
  <w:footnote w:id="42">
    <w:p w14:paraId="4E6DB1A5"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23 marzo 1982, 102/81, </w:t>
      </w:r>
      <w:r w:rsidRPr="00AE6D2D">
        <w:rPr>
          <w:i/>
          <w:iCs/>
          <w:szCs w:val="18"/>
        </w:rPr>
        <w:t>Nordsee</w:t>
      </w:r>
      <w:r w:rsidRPr="00464DEB">
        <w:rPr>
          <w:szCs w:val="18"/>
        </w:rPr>
        <w:t xml:space="preserve">; 27 gennaio 2005, C-125/04, </w:t>
      </w:r>
      <w:r w:rsidRPr="00AE6D2D">
        <w:rPr>
          <w:i/>
          <w:iCs/>
          <w:szCs w:val="18"/>
        </w:rPr>
        <w:t>Denuit</w:t>
      </w:r>
      <w:r w:rsidRPr="00464DEB">
        <w:rPr>
          <w:szCs w:val="18"/>
        </w:rPr>
        <w:t>.</w:t>
      </w:r>
    </w:p>
  </w:footnote>
  <w:footnote w:id="43">
    <w:p w14:paraId="6144E25A"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1° giugno 1999, C-126/97, </w:t>
      </w:r>
      <w:r w:rsidRPr="00AE6D2D">
        <w:rPr>
          <w:i/>
          <w:iCs/>
          <w:szCs w:val="18"/>
        </w:rPr>
        <w:t>Eco-Swiss</w:t>
      </w:r>
      <w:r w:rsidRPr="00464DEB">
        <w:rPr>
          <w:szCs w:val="18"/>
        </w:rPr>
        <w:t>.</w:t>
      </w:r>
    </w:p>
  </w:footnote>
  <w:footnote w:id="44">
    <w:p w14:paraId="2AAC879D" w14:textId="77777777" w:rsidR="008F0581" w:rsidRPr="00464DEB" w:rsidRDefault="008F0581" w:rsidP="002C4301">
      <w:pPr>
        <w:pStyle w:val="Testonotaapidipagina"/>
        <w:rPr>
          <w:szCs w:val="18"/>
        </w:rPr>
      </w:pPr>
      <w:r w:rsidRPr="006E1027">
        <w:rPr>
          <w:rStyle w:val="Rimandonotaapidipagina"/>
          <w:szCs w:val="18"/>
        </w:rPr>
        <w:footnoteRef/>
      </w:r>
      <w:r>
        <w:rPr>
          <w:i/>
          <w:iCs/>
          <w:szCs w:val="18"/>
          <w:vertAlign w:val="superscript"/>
        </w:rPr>
        <w:t> </w:t>
      </w:r>
      <w:r w:rsidRPr="00464DEB">
        <w:rPr>
          <w:szCs w:val="18"/>
        </w:rPr>
        <w:t xml:space="preserve">Corte giust., 17 ottobre 1989, C-109/88, </w:t>
      </w:r>
      <w:r w:rsidRPr="00AE6D2D">
        <w:rPr>
          <w:i/>
          <w:iCs/>
          <w:szCs w:val="18"/>
        </w:rPr>
        <w:t>Danfoss.</w:t>
      </w:r>
    </w:p>
  </w:footnote>
  <w:footnote w:id="45">
    <w:p w14:paraId="37DB619C" w14:textId="32FEE4A2"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6 marzo 2018, C– 284/16, </w:t>
      </w:r>
      <w:r w:rsidRPr="00AE6D2D">
        <w:rPr>
          <w:i/>
          <w:iCs/>
          <w:szCs w:val="18"/>
        </w:rPr>
        <w:t>Slowakische Republik c. Achmea BV.</w:t>
      </w:r>
    </w:p>
  </w:footnote>
  <w:footnote w:id="46">
    <w:p w14:paraId="763C73C3"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6 ottobre 1981, 246/80, </w:t>
      </w:r>
      <w:r w:rsidRPr="00AE6D2D">
        <w:rPr>
          <w:i/>
          <w:szCs w:val="18"/>
        </w:rPr>
        <w:t>Broekmeulen c. Huisarts Registratie Commissie</w:t>
      </w:r>
      <w:r w:rsidRPr="00464DEB">
        <w:rPr>
          <w:szCs w:val="18"/>
        </w:rPr>
        <w:t>.</w:t>
      </w:r>
    </w:p>
  </w:footnote>
  <w:footnote w:id="47">
    <w:p w14:paraId="0831F4BB" w14:textId="168957F1"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 </w:t>
      </w:r>
      <w:r w:rsidR="00396411" w:rsidRPr="00396411">
        <w:rPr>
          <w:szCs w:val="18"/>
        </w:rPr>
        <w:t>Non sono, invece, legittimati a sollevare questioni pregiudiziali gli ordini professionali quando non esercitano funzioni giurisdizionali</w:t>
      </w:r>
      <w:r w:rsidR="00396411">
        <w:rPr>
          <w:szCs w:val="18"/>
        </w:rPr>
        <w:t xml:space="preserve"> (</w:t>
      </w:r>
      <w:r w:rsidR="00396411" w:rsidRPr="00464DEB">
        <w:rPr>
          <w:szCs w:val="18"/>
        </w:rPr>
        <w:t>Corte giust. (ord.), 18 giugno 1980, 138/80</w:t>
      </w:r>
      <w:r w:rsidR="00396411">
        <w:rPr>
          <w:szCs w:val="18"/>
        </w:rPr>
        <w:t>, Borker).</w:t>
      </w:r>
    </w:p>
  </w:footnote>
  <w:footnote w:id="48">
    <w:p w14:paraId="15317BB4" w14:textId="6D5A164D"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17 luglio 2014, C-58/13 e 59/13, </w:t>
      </w:r>
      <w:r w:rsidRPr="00AE6D2D">
        <w:rPr>
          <w:i/>
          <w:iCs/>
          <w:szCs w:val="18"/>
        </w:rPr>
        <w:t>Torresi.</w:t>
      </w:r>
    </w:p>
  </w:footnote>
  <w:footnote w:id="49">
    <w:p w14:paraId="4FD04267"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È il caso, ad esempio, delle forme obbligatorie di soluzione delle controversie disciplinate dalla l. 31 luglio 1997, n. 249 (c.d. legge Maccanico), istitutiva dell’Autorità per le garanzie nelle comunicazioni.</w:t>
      </w:r>
    </w:p>
  </w:footnote>
  <w:footnote w:id="50">
    <w:p w14:paraId="039042A9" w14:textId="77777777" w:rsidR="0087337C" w:rsidRPr="00464DEB" w:rsidRDefault="0087337C" w:rsidP="0087337C">
      <w:pPr>
        <w:pStyle w:val="Testonotaapidipagina"/>
        <w:rPr>
          <w:szCs w:val="18"/>
          <w:lang w:val="es-ES"/>
        </w:rPr>
      </w:pPr>
      <w:r w:rsidRPr="006E1027">
        <w:rPr>
          <w:rStyle w:val="Rimandonotaapidipagina"/>
          <w:snapToGrid w:val="0"/>
          <w:szCs w:val="18"/>
          <w:u w:color="000000"/>
        </w:rPr>
        <w:footnoteRef/>
      </w:r>
      <w:r>
        <w:rPr>
          <w:snapToGrid w:val="0"/>
          <w:szCs w:val="18"/>
          <w:u w:color="000000"/>
          <w:vertAlign w:val="superscript"/>
          <w:lang w:val="es-ES"/>
        </w:rPr>
        <w:t> </w:t>
      </w:r>
      <w:r w:rsidRPr="00464DEB">
        <w:rPr>
          <w:szCs w:val="18"/>
          <w:lang w:val="es-ES"/>
        </w:rPr>
        <w:t xml:space="preserve">Corte giust., 16 luglio 1992, C-67/91, </w:t>
      </w:r>
      <w:r w:rsidRPr="00AE6D2D">
        <w:rPr>
          <w:i/>
          <w:szCs w:val="18"/>
          <w:lang w:val="es-ES"/>
        </w:rPr>
        <w:t>Dirección General de Defensa de la Competencia</w:t>
      </w:r>
      <w:r w:rsidRPr="00464DEB">
        <w:rPr>
          <w:szCs w:val="18"/>
          <w:lang w:val="es-ES"/>
        </w:rPr>
        <w:t xml:space="preserve"> </w:t>
      </w:r>
      <w:r w:rsidRPr="00AE6D2D">
        <w:rPr>
          <w:i/>
          <w:szCs w:val="18"/>
          <w:lang w:val="es-ES"/>
        </w:rPr>
        <w:t>c. asociacion espanola de banca privada e a</w:t>
      </w:r>
      <w:r w:rsidRPr="00464DEB">
        <w:rPr>
          <w:szCs w:val="18"/>
          <w:lang w:val="es-ES"/>
        </w:rPr>
        <w:t>.</w:t>
      </w:r>
    </w:p>
  </w:footnote>
  <w:footnote w:id="51">
    <w:p w14:paraId="505A0DAF" w14:textId="5002C626" w:rsidR="008F0581" w:rsidRPr="007B7251" w:rsidRDefault="008F0581" w:rsidP="002C4301">
      <w:pPr>
        <w:pStyle w:val="Testonotaapidipagina"/>
        <w:rPr>
          <w:szCs w:val="18"/>
          <w:lang w:val="es-ES"/>
        </w:rPr>
      </w:pPr>
      <w:r w:rsidRPr="006E1027">
        <w:rPr>
          <w:rStyle w:val="Rimandonotaapidipagina"/>
          <w:snapToGrid w:val="0"/>
          <w:szCs w:val="18"/>
          <w:u w:color="000000"/>
        </w:rPr>
        <w:footnoteRef/>
      </w:r>
      <w:r w:rsidRPr="007B7251">
        <w:rPr>
          <w:snapToGrid w:val="0"/>
          <w:szCs w:val="18"/>
          <w:u w:color="000000"/>
          <w:vertAlign w:val="superscript"/>
          <w:lang w:val="es-ES"/>
        </w:rPr>
        <w:t> </w:t>
      </w:r>
      <w:r w:rsidRPr="007B7251">
        <w:rPr>
          <w:szCs w:val="18"/>
          <w:lang w:val="es-ES"/>
        </w:rPr>
        <w:t>Corte giust. (Grande Sez</w:t>
      </w:r>
      <w:r w:rsidR="0024442F" w:rsidRPr="007B7251">
        <w:rPr>
          <w:szCs w:val="18"/>
          <w:lang w:val="es-ES"/>
        </w:rPr>
        <w:t>.</w:t>
      </w:r>
      <w:r w:rsidRPr="007B7251">
        <w:rPr>
          <w:szCs w:val="18"/>
          <w:lang w:val="es-ES"/>
        </w:rPr>
        <w:t xml:space="preserve">), 31 maggio 2005, C-53/03, </w:t>
      </w:r>
      <w:r w:rsidRPr="007B7251">
        <w:rPr>
          <w:i/>
          <w:szCs w:val="18"/>
          <w:lang w:val="es-ES"/>
        </w:rPr>
        <w:t>Synetairismos Farmakopoion Aitolias &amp; Akarnanias</w:t>
      </w:r>
      <w:r w:rsidRPr="007B7251">
        <w:rPr>
          <w:b/>
          <w:szCs w:val="18"/>
          <w:lang w:val="es-ES"/>
        </w:rPr>
        <w:t xml:space="preserve"> </w:t>
      </w:r>
      <w:r w:rsidRPr="007B7251">
        <w:rPr>
          <w:i/>
          <w:szCs w:val="18"/>
          <w:lang w:val="es-ES"/>
        </w:rPr>
        <w:t>(Syfait) e a. c. GlaxoSmithKline plc</w:t>
      </w:r>
      <w:r w:rsidRPr="007B7251">
        <w:rPr>
          <w:szCs w:val="18"/>
          <w:lang w:val="es-ES"/>
        </w:rPr>
        <w:t>.</w:t>
      </w:r>
    </w:p>
  </w:footnote>
  <w:footnote w:id="52">
    <w:p w14:paraId="29CBC692" w14:textId="77777777" w:rsidR="008F0581" w:rsidRPr="001164F9" w:rsidRDefault="008F0581" w:rsidP="002C4301">
      <w:pPr>
        <w:pStyle w:val="Testonotaapidipagina"/>
        <w:rPr>
          <w:bCs/>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Si tratta, come noto, del regolamento (CE) del Consiglio del 16 dicembre 2002, in </w:t>
      </w:r>
      <w:r w:rsidRPr="00AE6D2D">
        <w:rPr>
          <w:i/>
          <w:szCs w:val="18"/>
        </w:rPr>
        <w:t>GUCE</w:t>
      </w:r>
      <w:r w:rsidRPr="00464DEB">
        <w:rPr>
          <w:szCs w:val="18"/>
        </w:rPr>
        <w:t xml:space="preserve"> del 4 gennaio 2003, n. L 1, p. 1.</w:t>
      </w:r>
    </w:p>
  </w:footnote>
  <w:footnote w:id="53">
    <w:p w14:paraId="098D9A45"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16 settembre 2020, C-462/19, </w:t>
      </w:r>
      <w:r w:rsidRPr="00AE6D2D">
        <w:rPr>
          <w:i/>
          <w:iCs/>
          <w:szCs w:val="18"/>
        </w:rPr>
        <w:t>Anesco</w:t>
      </w:r>
      <w:r w:rsidRPr="00464DEB">
        <w:rPr>
          <w:szCs w:val="18"/>
        </w:rPr>
        <w:t>.</w:t>
      </w:r>
    </w:p>
  </w:footnote>
  <w:footnote w:id="54">
    <w:p w14:paraId="18640AA2" w14:textId="3ED571FD"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Corte giust. (Grande Sez</w:t>
      </w:r>
      <w:r w:rsidR="0024442F">
        <w:rPr>
          <w:szCs w:val="18"/>
        </w:rPr>
        <w:t>.</w:t>
      </w:r>
      <w:r w:rsidRPr="00464DEB">
        <w:rPr>
          <w:szCs w:val="18"/>
        </w:rPr>
        <w:t>), 3 maggio 2022, C</w:t>
      </w:r>
      <w:r>
        <w:rPr>
          <w:szCs w:val="18"/>
        </w:rPr>
        <w:t>-</w:t>
      </w:r>
      <w:r w:rsidRPr="00464DEB">
        <w:rPr>
          <w:szCs w:val="18"/>
        </w:rPr>
        <w:t xml:space="preserve">453/20, </w:t>
      </w:r>
      <w:r w:rsidRPr="00AE6D2D">
        <w:rPr>
          <w:i/>
          <w:iCs/>
          <w:szCs w:val="18"/>
        </w:rPr>
        <w:t>CityRail</w:t>
      </w:r>
      <w:r w:rsidRPr="00464DEB">
        <w:rPr>
          <w:szCs w:val="18"/>
        </w:rPr>
        <w:t>, punto 70.</w:t>
      </w:r>
    </w:p>
  </w:footnote>
  <w:footnote w:id="55">
    <w:p w14:paraId="6C333874"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Corte cost. (ord.), 29 dicembre 1995, n. 536.</w:t>
      </w:r>
    </w:p>
  </w:footnote>
  <w:footnote w:id="56">
    <w:p w14:paraId="0409A870"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Corte cost. (ord.), 15 aprile 2008, n. 103 e correlata sentenza n. 102.</w:t>
      </w:r>
    </w:p>
  </w:footnote>
  <w:footnote w:id="57">
    <w:p w14:paraId="018F928E"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cost. (ord.), 16 luglio 2014, n. 207.</w:t>
      </w:r>
    </w:p>
  </w:footnote>
  <w:footnote w:id="58">
    <w:p w14:paraId="7BF5F819"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cost. (ord.), 26 gennaio 2017, n. 24.</w:t>
      </w:r>
    </w:p>
  </w:footnote>
  <w:footnote w:id="59">
    <w:p w14:paraId="263BBEDC" w14:textId="0EA89AAC"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5 dicembre 2017, C-42/17,</w:t>
      </w:r>
      <w:r w:rsidRPr="00AE6D2D">
        <w:rPr>
          <w:i/>
          <w:szCs w:val="18"/>
        </w:rPr>
        <w:t xml:space="preserve"> M.A.S.</w:t>
      </w:r>
    </w:p>
  </w:footnote>
  <w:footnote w:id="60">
    <w:p w14:paraId="5D15D2F7" w14:textId="73EC7864"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8 settembre 2015, C-105/14</w:t>
      </w:r>
      <w:r w:rsidRPr="00AE6D2D">
        <w:rPr>
          <w:i/>
          <w:szCs w:val="18"/>
        </w:rPr>
        <w:t xml:space="preserve"> Taricco</w:t>
      </w:r>
      <w:r w:rsidRPr="00464DEB">
        <w:rPr>
          <w:szCs w:val="18"/>
        </w:rPr>
        <w:t>.</w:t>
      </w:r>
    </w:p>
  </w:footnote>
  <w:footnote w:id="61">
    <w:p w14:paraId="294B2DCA"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V. da ultimo Corte cost., n. 15 del 2023. Questa sentenza introduce la possibilità per il giudice nazionale di cumulare lo strumento della disapplicazione della legge con la rimessione alla Corte costituzionale di una questione di legittimità costituzionale sulla medesima legge, sia pure limitatamente al giudizio antidiscriminatorio </w:t>
      </w:r>
      <w:r w:rsidRPr="00AE6D2D">
        <w:rPr>
          <w:i/>
          <w:iCs/>
          <w:szCs w:val="18"/>
        </w:rPr>
        <w:t>ex</w:t>
      </w:r>
      <w:r w:rsidRPr="00464DEB">
        <w:rPr>
          <w:szCs w:val="18"/>
        </w:rPr>
        <w:t xml:space="preserve"> art. 28</w:t>
      </w:r>
      <w:r>
        <w:rPr>
          <w:szCs w:val="18"/>
        </w:rPr>
        <w:t>,</w:t>
      </w:r>
      <w:r w:rsidRPr="00464DEB">
        <w:rPr>
          <w:szCs w:val="18"/>
        </w:rPr>
        <w:t xml:space="preserve"> d.lgs. n. 150</w:t>
      </w:r>
      <w:r>
        <w:rPr>
          <w:szCs w:val="18"/>
        </w:rPr>
        <w:t>/</w:t>
      </w:r>
      <w:r w:rsidRPr="00464DEB">
        <w:rPr>
          <w:szCs w:val="18"/>
        </w:rPr>
        <w:t>2011.</w:t>
      </w:r>
    </w:p>
  </w:footnote>
  <w:footnote w:id="62">
    <w:p w14:paraId="442872FA"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cost. (ord.), 11 marzo 2022, n. 67; 27 febbraio 2024, n. 29.</w:t>
      </w:r>
    </w:p>
  </w:footnote>
  <w:footnote w:id="63">
    <w:p w14:paraId="5ECFBD6E"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Cfr., </w:t>
      </w:r>
      <w:r w:rsidRPr="00AE6D2D">
        <w:rPr>
          <w:i/>
          <w:szCs w:val="18"/>
        </w:rPr>
        <w:t>ex multis</w:t>
      </w:r>
      <w:r w:rsidRPr="00464DEB">
        <w:rPr>
          <w:szCs w:val="18"/>
        </w:rPr>
        <w:t xml:space="preserve">, Corte giust., 24 maggio 1977, 107/76, </w:t>
      </w:r>
      <w:r w:rsidRPr="00AE6D2D">
        <w:rPr>
          <w:i/>
          <w:szCs w:val="18"/>
        </w:rPr>
        <w:t xml:space="preserve">Hoffmann-La Roche AG c. </w:t>
      </w:r>
      <w:r w:rsidRPr="004050C9">
        <w:rPr>
          <w:i/>
          <w:szCs w:val="18"/>
        </w:rPr>
        <w:t>Centrafarm Vertriebsgesellschaft Pharmazeutischer Erzeugnisse Mbh</w:t>
      </w:r>
      <w:r w:rsidRPr="004050C9">
        <w:rPr>
          <w:szCs w:val="18"/>
        </w:rPr>
        <w:t xml:space="preserve">, </w:t>
      </w:r>
      <w:r w:rsidRPr="00464DEB">
        <w:rPr>
          <w:szCs w:val="18"/>
        </w:rPr>
        <w:t xml:space="preserve">punto 5; 12 giugno 2008, C-458/06, </w:t>
      </w:r>
      <w:r w:rsidRPr="00AE6D2D">
        <w:rPr>
          <w:i/>
          <w:szCs w:val="18"/>
        </w:rPr>
        <w:t>Gourmet Classic</w:t>
      </w:r>
      <w:r w:rsidRPr="00464DEB">
        <w:rPr>
          <w:szCs w:val="18"/>
        </w:rPr>
        <w:t>.</w:t>
      </w:r>
    </w:p>
  </w:footnote>
  <w:footnote w:id="64">
    <w:p w14:paraId="62A31248" w14:textId="1DBD2640"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15 gennaio 2013, C-416/10, </w:t>
      </w:r>
      <w:r w:rsidRPr="00AE6D2D">
        <w:rPr>
          <w:i/>
          <w:szCs w:val="18"/>
        </w:rPr>
        <w:t>Krizan</w:t>
      </w:r>
      <w:r w:rsidRPr="00464DEB">
        <w:rPr>
          <w:szCs w:val="18"/>
        </w:rPr>
        <w:t xml:space="preserve">; 11 settembre 2014, C-112/13, </w:t>
      </w:r>
      <w:r w:rsidRPr="00AE6D2D">
        <w:rPr>
          <w:i/>
          <w:iCs/>
          <w:szCs w:val="18"/>
        </w:rPr>
        <w:t>A c. B</w:t>
      </w:r>
      <w:r w:rsidRPr="00464DEB">
        <w:rPr>
          <w:szCs w:val="18"/>
        </w:rPr>
        <w:t xml:space="preserve">; 18 luglio 2013, C-136/12, </w:t>
      </w:r>
      <w:r w:rsidRPr="00AE6D2D">
        <w:rPr>
          <w:i/>
          <w:iCs/>
          <w:szCs w:val="18"/>
        </w:rPr>
        <w:t>Consiglio nazionale dei geologi.</w:t>
      </w:r>
    </w:p>
  </w:footnote>
  <w:footnote w:id="65">
    <w:p w14:paraId="39628067" w14:textId="24244A3A" w:rsidR="008F0581" w:rsidRPr="000D3AEA" w:rsidRDefault="008F0581" w:rsidP="002C4301">
      <w:pPr>
        <w:pStyle w:val="Testonotaapidipagina"/>
        <w:rPr>
          <w:spacing w:val="-2"/>
          <w:szCs w:val="18"/>
        </w:rPr>
      </w:pPr>
      <w:r w:rsidRPr="000D3AEA">
        <w:rPr>
          <w:rStyle w:val="Rimandonotaapidipagina"/>
          <w:spacing w:val="-2"/>
          <w:szCs w:val="18"/>
        </w:rPr>
        <w:footnoteRef/>
      </w:r>
      <w:r w:rsidRPr="000D3AEA">
        <w:rPr>
          <w:spacing w:val="-2"/>
          <w:szCs w:val="18"/>
          <w:vertAlign w:val="superscript"/>
        </w:rPr>
        <w:t> </w:t>
      </w:r>
      <w:r w:rsidRPr="000D3AEA">
        <w:rPr>
          <w:spacing w:val="-2"/>
          <w:szCs w:val="18"/>
        </w:rPr>
        <w:t>Corte giust. (Grande Sez</w:t>
      </w:r>
      <w:r w:rsidR="0024442F" w:rsidRPr="000D3AEA">
        <w:rPr>
          <w:spacing w:val="-2"/>
          <w:szCs w:val="18"/>
        </w:rPr>
        <w:t>.</w:t>
      </w:r>
      <w:r w:rsidRPr="000D3AEA">
        <w:rPr>
          <w:spacing w:val="-2"/>
          <w:szCs w:val="18"/>
        </w:rPr>
        <w:t xml:space="preserve">), 5 aprile 2016, C-689/13, </w:t>
      </w:r>
      <w:r w:rsidRPr="000D3AEA">
        <w:rPr>
          <w:i/>
          <w:iCs/>
          <w:spacing w:val="-2"/>
          <w:szCs w:val="18"/>
        </w:rPr>
        <w:t>Puligienica Facility Esco</w:t>
      </w:r>
      <w:r w:rsidRPr="000D3AEA">
        <w:rPr>
          <w:spacing w:val="-2"/>
          <w:szCs w:val="18"/>
        </w:rPr>
        <w:t xml:space="preserve"> (PFE).</w:t>
      </w:r>
      <w:r w:rsidR="00CB1DED" w:rsidRPr="000D3AEA">
        <w:rPr>
          <w:rFonts w:ascii="Calibri" w:eastAsia="PMingLiU" w:hAnsi="Calibri"/>
          <w:noProof/>
          <w:spacing w:val="-2"/>
          <w:sz w:val="22"/>
          <w:szCs w:val="22"/>
          <w:lang w:eastAsia="zh-TW"/>
        </w:rPr>
        <w:t xml:space="preserve"> </w:t>
      </w:r>
      <w:r w:rsidR="00CB1DED" w:rsidRPr="000D3AEA">
        <w:rPr>
          <w:spacing w:val="-2"/>
          <w:szCs w:val="18"/>
        </w:rPr>
        <w:t>Parimenti è stata ritenuta contraria al diritto dell’Unione europea e, pertanto, meritevole di disapplicazione, una normativa bulgara che obbligava il giudice nazionale che avesse sollevato una questione pregiudiziale ad astenersi, all’esito della pronuncia della Corte, dalla definizione del merito della causa; tale previsione (preordinata a tutelare il diritto all’imparzia</w:t>
      </w:r>
      <w:r w:rsidR="00CB1DED" w:rsidRPr="000D3AEA">
        <w:rPr>
          <w:spacing w:val="-2"/>
          <w:szCs w:val="18"/>
        </w:rPr>
        <w:softHyphen/>
        <w:t>lità del giudice, ritenuto potenzialmente minacciato dalla circostanza di aver sottoposto alla Corte, in ossequio all’art. 94 del regolamento di procedura, il contesto giuridico e di fatto della fattispecie, così anticipando un parere provvisorio sul merito della causa) rischierebbe, infatti, di indurre il giudice nazionale a desistere dalla proposizione del rinvio pregiudiziale, temendo di dover poi declinare la propria competenza o di vedersi esposto a sanzioni disciplinari [Corte giust. (Grande Sez</w:t>
      </w:r>
      <w:r w:rsidR="0024442F" w:rsidRPr="000D3AEA">
        <w:rPr>
          <w:spacing w:val="-2"/>
          <w:szCs w:val="18"/>
        </w:rPr>
        <w:t>.</w:t>
      </w:r>
      <w:r w:rsidR="00CB1DED" w:rsidRPr="000D3AEA">
        <w:rPr>
          <w:spacing w:val="-2"/>
          <w:szCs w:val="18"/>
        </w:rPr>
        <w:t xml:space="preserve">), 5 luglio 2016, C-614/14, </w:t>
      </w:r>
      <w:r w:rsidR="00CB1DED" w:rsidRPr="000D3AEA">
        <w:rPr>
          <w:i/>
          <w:iCs/>
          <w:spacing w:val="-2"/>
          <w:szCs w:val="18"/>
        </w:rPr>
        <w:t>Ognyanov</w:t>
      </w:r>
      <w:r w:rsidR="00CB1DED" w:rsidRPr="000D3AEA">
        <w:rPr>
          <w:iCs/>
          <w:spacing w:val="-2"/>
          <w:szCs w:val="18"/>
        </w:rPr>
        <w:t>].</w:t>
      </w:r>
    </w:p>
  </w:footnote>
  <w:footnote w:id="66">
    <w:p w14:paraId="6F658AFF" w14:textId="77777777" w:rsidR="008F0581" w:rsidRPr="00AE5E64" w:rsidRDefault="008F0581" w:rsidP="002C4301">
      <w:pPr>
        <w:pStyle w:val="Testonotaapidipagina"/>
        <w:rPr>
          <w:bCs/>
          <w:spacing w:val="-2"/>
          <w:szCs w:val="18"/>
          <w:lang w:val="en-US"/>
        </w:rPr>
      </w:pPr>
      <w:r w:rsidRPr="00F52656">
        <w:rPr>
          <w:rStyle w:val="Rimandonotaapidipagina"/>
          <w:snapToGrid w:val="0"/>
          <w:spacing w:val="-2"/>
          <w:szCs w:val="18"/>
          <w:u w:color="000000"/>
        </w:rPr>
        <w:footnoteRef/>
      </w:r>
      <w:r w:rsidRPr="00AE5E64">
        <w:rPr>
          <w:snapToGrid w:val="0"/>
          <w:spacing w:val="-2"/>
          <w:szCs w:val="18"/>
          <w:u w:color="000000"/>
          <w:vertAlign w:val="superscript"/>
          <w:lang w:val="en-US"/>
        </w:rPr>
        <w:t> </w:t>
      </w:r>
      <w:r w:rsidRPr="00AE5E64">
        <w:rPr>
          <w:spacing w:val="-2"/>
          <w:szCs w:val="18"/>
          <w:lang w:val="en-US"/>
        </w:rPr>
        <w:t xml:space="preserve">Corte giust., 22 novembre 1978, 93/78, </w:t>
      </w:r>
      <w:r w:rsidRPr="00AE5E64">
        <w:rPr>
          <w:i/>
          <w:spacing w:val="-2"/>
          <w:szCs w:val="18"/>
          <w:lang w:val="en-US"/>
        </w:rPr>
        <w:t>Mattheus</w:t>
      </w:r>
      <w:r w:rsidRPr="00AE5E64">
        <w:rPr>
          <w:spacing w:val="-2"/>
          <w:szCs w:val="18"/>
          <w:lang w:val="en-US"/>
        </w:rPr>
        <w:t xml:space="preserve"> </w:t>
      </w:r>
      <w:r w:rsidRPr="00AE5E64">
        <w:rPr>
          <w:i/>
          <w:spacing w:val="-2"/>
          <w:szCs w:val="18"/>
          <w:lang w:val="en-US"/>
        </w:rPr>
        <w:t>c. Doego Fruchtimport und Tiefkuehlkost e G</w:t>
      </w:r>
      <w:r w:rsidRPr="00AE5E64">
        <w:rPr>
          <w:b/>
          <w:spacing w:val="-2"/>
          <w:szCs w:val="18"/>
          <w:lang w:val="en-US"/>
        </w:rPr>
        <w:t>.</w:t>
      </w:r>
    </w:p>
  </w:footnote>
  <w:footnote w:id="67">
    <w:p w14:paraId="25925877"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15 settembre 2005, C-495/03, </w:t>
      </w:r>
      <w:r w:rsidRPr="004050C9">
        <w:rPr>
          <w:i/>
          <w:szCs w:val="18"/>
        </w:rPr>
        <w:t>Intermodal Transports BV c.</w:t>
      </w:r>
      <w:r w:rsidRPr="004050C9">
        <w:rPr>
          <w:b/>
          <w:szCs w:val="18"/>
        </w:rPr>
        <w:t xml:space="preserve"> </w:t>
      </w:r>
      <w:r w:rsidRPr="004050C9">
        <w:rPr>
          <w:i/>
          <w:szCs w:val="18"/>
        </w:rPr>
        <w:t>Staatssecretaris van Financiën</w:t>
      </w:r>
      <w:r w:rsidRPr="00464DEB">
        <w:rPr>
          <w:szCs w:val="18"/>
        </w:rPr>
        <w:t>, punto 32.</w:t>
      </w:r>
    </w:p>
  </w:footnote>
  <w:footnote w:id="68">
    <w:p w14:paraId="7A58A292"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6 ottobre 1982, 283/81, </w:t>
      </w:r>
      <w:r w:rsidRPr="00AE6D2D">
        <w:rPr>
          <w:i/>
          <w:szCs w:val="18"/>
        </w:rPr>
        <w:t>Srl CILFIT e Lanificio di Gavardo SpA c. Ministero della Sanità</w:t>
      </w:r>
      <w:r w:rsidRPr="00464DEB">
        <w:rPr>
          <w:szCs w:val="18"/>
        </w:rPr>
        <w:t>.</w:t>
      </w:r>
    </w:p>
  </w:footnote>
  <w:footnote w:id="69">
    <w:p w14:paraId="3561B6F9" w14:textId="77777777" w:rsidR="008F0581" w:rsidRPr="00AE5E64" w:rsidRDefault="008F0581" w:rsidP="002C4301">
      <w:pPr>
        <w:pStyle w:val="Testonotaapidipagina"/>
        <w:rPr>
          <w:szCs w:val="18"/>
          <w:lang w:val="en-US"/>
        </w:rPr>
      </w:pPr>
      <w:r w:rsidRPr="006E1027">
        <w:rPr>
          <w:rStyle w:val="Rimandonotaapidipagina"/>
          <w:snapToGrid w:val="0"/>
          <w:szCs w:val="18"/>
          <w:u w:color="000000"/>
        </w:rPr>
        <w:footnoteRef/>
      </w:r>
      <w:r w:rsidRPr="00AE5E64">
        <w:rPr>
          <w:snapToGrid w:val="0"/>
          <w:szCs w:val="18"/>
          <w:u w:color="000000"/>
          <w:vertAlign w:val="superscript"/>
          <w:lang w:val="en-US"/>
        </w:rPr>
        <w:t> </w:t>
      </w:r>
      <w:r w:rsidRPr="00AE5E64">
        <w:rPr>
          <w:szCs w:val="18"/>
          <w:lang w:val="en-US"/>
        </w:rPr>
        <w:t xml:space="preserve">Corte giust., 5 febbraio 1963, 26/62, </w:t>
      </w:r>
      <w:r w:rsidRPr="00AE5E64">
        <w:rPr>
          <w:i/>
          <w:szCs w:val="18"/>
          <w:lang w:val="en-US"/>
        </w:rPr>
        <w:t>NV Algemene Transport– en Expeditie Onderneming van Gend &amp; Loos c. Netherlands Inland Revenue Administration</w:t>
      </w:r>
      <w:r w:rsidRPr="00AE5E64">
        <w:rPr>
          <w:szCs w:val="18"/>
          <w:lang w:val="en-US"/>
        </w:rPr>
        <w:t>, punto 25.</w:t>
      </w:r>
    </w:p>
  </w:footnote>
  <w:footnote w:id="70">
    <w:p w14:paraId="00B532B9"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15 luglio 1964, 6/64, </w:t>
      </w:r>
      <w:r w:rsidRPr="00AE6D2D">
        <w:rPr>
          <w:i/>
          <w:szCs w:val="18"/>
        </w:rPr>
        <w:t>Costa c. E.N.E.L.</w:t>
      </w:r>
      <w:r w:rsidRPr="00464DEB">
        <w:rPr>
          <w:szCs w:val="18"/>
        </w:rPr>
        <w:t xml:space="preserve"> È appena il caso di ricordare che le sentenze del giudice di pace sono oggi impugnabili in Cassazione.</w:t>
      </w:r>
    </w:p>
  </w:footnote>
  <w:footnote w:id="71">
    <w:p w14:paraId="42678287"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w:t>
      </w:r>
      <w:r w:rsidRPr="00AE6D2D">
        <w:rPr>
          <w:i/>
          <w:szCs w:val="18"/>
        </w:rPr>
        <w:t xml:space="preserve">Hoffmann-La Roche AG c. </w:t>
      </w:r>
      <w:r w:rsidRPr="004050C9">
        <w:rPr>
          <w:i/>
          <w:szCs w:val="18"/>
        </w:rPr>
        <w:t>Centrafarm Vertriebsgesellschaft Pharmazeutischer Erzeugniss</w:t>
      </w:r>
      <w:r w:rsidRPr="00AE6D2D">
        <w:rPr>
          <w:i/>
          <w:szCs w:val="18"/>
        </w:rPr>
        <w:t>e mbH</w:t>
      </w:r>
      <w:r w:rsidRPr="00464DEB">
        <w:rPr>
          <w:szCs w:val="18"/>
        </w:rPr>
        <w:t xml:space="preserve">, cit., punto 5; 27 ottobre 1982, 35 e 36/82, </w:t>
      </w:r>
      <w:r w:rsidRPr="00AE6D2D">
        <w:rPr>
          <w:i/>
          <w:szCs w:val="18"/>
        </w:rPr>
        <w:t>Morson e Jhanjan c. Paesi Bassi</w:t>
      </w:r>
      <w:r w:rsidRPr="00464DEB">
        <w:rPr>
          <w:szCs w:val="18"/>
        </w:rPr>
        <w:t>, punto 9.</w:t>
      </w:r>
    </w:p>
  </w:footnote>
  <w:footnote w:id="72">
    <w:p w14:paraId="6AFCD626" w14:textId="77777777" w:rsidR="008F0581" w:rsidRPr="00AE5E64" w:rsidRDefault="008F0581" w:rsidP="002C4301">
      <w:pPr>
        <w:pStyle w:val="Testonotaapidipagina"/>
        <w:rPr>
          <w:szCs w:val="18"/>
          <w:lang w:val="en-US"/>
        </w:rPr>
      </w:pPr>
      <w:r w:rsidRPr="006E1027">
        <w:rPr>
          <w:rStyle w:val="Rimandonotaapidipagina"/>
          <w:snapToGrid w:val="0"/>
          <w:szCs w:val="18"/>
          <w:u w:color="000000"/>
        </w:rPr>
        <w:footnoteRef/>
      </w:r>
      <w:r w:rsidRPr="00AE5E64">
        <w:rPr>
          <w:snapToGrid w:val="0"/>
          <w:szCs w:val="18"/>
          <w:u w:color="000000"/>
          <w:vertAlign w:val="superscript"/>
          <w:lang w:val="en-US"/>
        </w:rPr>
        <w:t> </w:t>
      </w:r>
      <w:r w:rsidRPr="00AE5E64">
        <w:rPr>
          <w:szCs w:val="18"/>
          <w:lang w:val="en-US"/>
        </w:rPr>
        <w:t xml:space="preserve">Corte giust., 5 febbraio 1963, 26/62, </w:t>
      </w:r>
      <w:r w:rsidRPr="00AE5E64">
        <w:rPr>
          <w:i/>
          <w:szCs w:val="18"/>
          <w:lang w:val="en-US"/>
        </w:rPr>
        <w:t>NV Algemene Transport– en Expeditie Onderneming van Gend &amp; Loos c. Netherlands Inland Revenue Administration</w:t>
      </w:r>
      <w:r w:rsidRPr="00AE5E64">
        <w:rPr>
          <w:szCs w:val="18"/>
          <w:lang w:val="en-US"/>
        </w:rPr>
        <w:t>.</w:t>
      </w:r>
    </w:p>
  </w:footnote>
  <w:footnote w:id="73">
    <w:p w14:paraId="00B06AB1"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27 marzo 1963, 28/62, 29/62 e 30/62, </w:t>
      </w:r>
      <w:r w:rsidRPr="00AE6D2D">
        <w:rPr>
          <w:i/>
          <w:szCs w:val="18"/>
        </w:rPr>
        <w:t>Da Costa en Schaake NV e a. c. Amministrazione olandese delle imposte</w:t>
      </w:r>
      <w:r w:rsidRPr="00464DEB">
        <w:rPr>
          <w:szCs w:val="18"/>
        </w:rPr>
        <w:t>.</w:t>
      </w:r>
    </w:p>
  </w:footnote>
  <w:footnote w:id="74">
    <w:p w14:paraId="0AF9B796"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6 ottobre 1982, 283/81, </w:t>
      </w:r>
      <w:r w:rsidRPr="00AE6D2D">
        <w:rPr>
          <w:i/>
          <w:szCs w:val="18"/>
        </w:rPr>
        <w:t>Srl CILFIT e Lanificio di Gavardo SpA c. Ministero della Sanità</w:t>
      </w:r>
      <w:r w:rsidRPr="00464DEB">
        <w:rPr>
          <w:szCs w:val="18"/>
        </w:rPr>
        <w:t>, punto 14.</w:t>
      </w:r>
    </w:p>
  </w:footnote>
  <w:footnote w:id="75">
    <w:p w14:paraId="29049A36" w14:textId="77777777" w:rsidR="008F0581" w:rsidRPr="00F52656" w:rsidRDefault="008F0581" w:rsidP="002C4301">
      <w:pPr>
        <w:pStyle w:val="Testonotaapidipagina"/>
        <w:rPr>
          <w:spacing w:val="1"/>
          <w:szCs w:val="18"/>
        </w:rPr>
      </w:pPr>
      <w:r w:rsidRPr="00F52656">
        <w:rPr>
          <w:rStyle w:val="Rimandonotaapidipagina"/>
          <w:snapToGrid w:val="0"/>
          <w:spacing w:val="1"/>
          <w:szCs w:val="18"/>
          <w:u w:color="000000"/>
        </w:rPr>
        <w:footnoteRef/>
      </w:r>
      <w:r w:rsidRPr="00F52656">
        <w:rPr>
          <w:snapToGrid w:val="0"/>
          <w:spacing w:val="1"/>
          <w:szCs w:val="18"/>
          <w:u w:color="000000"/>
          <w:vertAlign w:val="superscript"/>
        </w:rPr>
        <w:t> </w:t>
      </w:r>
      <w:r w:rsidRPr="00F52656">
        <w:rPr>
          <w:spacing w:val="1"/>
          <w:szCs w:val="18"/>
        </w:rPr>
        <w:t xml:space="preserve">Cfr. Corte giust., 6 ottobre 1982, 283/81, </w:t>
      </w:r>
      <w:r w:rsidRPr="00F52656">
        <w:rPr>
          <w:i/>
          <w:spacing w:val="1"/>
          <w:szCs w:val="18"/>
        </w:rPr>
        <w:t>Srl CILFIT e Lanificio di Gavardo SpA c. Ministero della Sanità e a.</w:t>
      </w:r>
      <w:r w:rsidRPr="00F52656">
        <w:rPr>
          <w:spacing w:val="1"/>
          <w:szCs w:val="18"/>
        </w:rPr>
        <w:t xml:space="preserve">, punto 16; 17 maggio 2001, C-340/99, </w:t>
      </w:r>
      <w:r w:rsidRPr="00F52656">
        <w:rPr>
          <w:i/>
          <w:spacing w:val="1"/>
          <w:szCs w:val="18"/>
        </w:rPr>
        <w:t>TNT Traco SpA c. poste Italiane SpA</w:t>
      </w:r>
      <w:r w:rsidRPr="00F52656">
        <w:rPr>
          <w:spacing w:val="1"/>
          <w:szCs w:val="18"/>
        </w:rPr>
        <w:t>, punto 35.</w:t>
      </w:r>
    </w:p>
  </w:footnote>
  <w:footnote w:id="76">
    <w:p w14:paraId="309CC8BF" w14:textId="77777777" w:rsidR="008F0581" w:rsidRPr="00F52656" w:rsidRDefault="008F0581" w:rsidP="002C4301">
      <w:pPr>
        <w:pStyle w:val="Testonotaapidipagina"/>
        <w:rPr>
          <w:spacing w:val="-2"/>
          <w:szCs w:val="18"/>
        </w:rPr>
      </w:pPr>
      <w:r w:rsidRPr="00F52656">
        <w:rPr>
          <w:rStyle w:val="Rimandonotaapidipagina"/>
          <w:snapToGrid w:val="0"/>
          <w:spacing w:val="-2"/>
          <w:szCs w:val="18"/>
          <w:u w:color="000000"/>
        </w:rPr>
        <w:footnoteRef/>
      </w:r>
      <w:r w:rsidRPr="00F52656">
        <w:rPr>
          <w:snapToGrid w:val="0"/>
          <w:spacing w:val="-2"/>
          <w:szCs w:val="18"/>
          <w:u w:color="000000"/>
          <w:vertAlign w:val="superscript"/>
        </w:rPr>
        <w:t> </w:t>
      </w:r>
      <w:r w:rsidRPr="00F52656">
        <w:rPr>
          <w:spacing w:val="-2"/>
          <w:szCs w:val="18"/>
        </w:rPr>
        <w:t>Corte giust.,</w:t>
      </w:r>
      <w:r w:rsidRPr="00F52656">
        <w:rPr>
          <w:i/>
          <w:spacing w:val="-2"/>
          <w:szCs w:val="18"/>
        </w:rPr>
        <w:t xml:space="preserve"> Srl CILFIT e Lanificio di Gavardo SpA c. Ministero della Sanità</w:t>
      </w:r>
      <w:r w:rsidRPr="00F52656">
        <w:rPr>
          <w:spacing w:val="-2"/>
          <w:szCs w:val="18"/>
        </w:rPr>
        <w:t>, cit., punti 16-20.</w:t>
      </w:r>
    </w:p>
  </w:footnote>
  <w:footnote w:id="77">
    <w:p w14:paraId="09CE0F49"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szCs w:val="18"/>
        </w:rPr>
        <w:t>Consorzio Italian Management e Catania Multiservizi SpA</w:t>
      </w:r>
      <w:r>
        <w:rPr>
          <w:i/>
          <w:szCs w:val="18"/>
        </w:rPr>
        <w:t xml:space="preserve"> c. </w:t>
      </w:r>
      <w:r w:rsidRPr="00AE6D2D">
        <w:rPr>
          <w:i/>
          <w:szCs w:val="18"/>
        </w:rPr>
        <w:t>Rete Ferroviaria Italiana SpA</w:t>
      </w:r>
      <w:r w:rsidRPr="00464DEB">
        <w:rPr>
          <w:szCs w:val="18"/>
        </w:rPr>
        <w:t>, cit., punto 44.</w:t>
      </w:r>
    </w:p>
  </w:footnote>
  <w:footnote w:id="78">
    <w:p w14:paraId="412D0EB7"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(ord.), 15 dicembre 2022, C-144/22, </w:t>
      </w:r>
      <w:r w:rsidRPr="00AE6D2D">
        <w:rPr>
          <w:i/>
          <w:iCs/>
          <w:szCs w:val="18"/>
        </w:rPr>
        <w:t>Società Eredi Raimondo Bufarini S.r.l</w:t>
      </w:r>
      <w:r w:rsidRPr="00464DEB">
        <w:rPr>
          <w:szCs w:val="18"/>
        </w:rPr>
        <w:t>., punto 53.</w:t>
      </w:r>
    </w:p>
  </w:footnote>
  <w:footnote w:id="79">
    <w:p w14:paraId="789A6499"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Un tentativo in questa direzione</w:t>
      </w:r>
      <w:r w:rsidR="00E623B3">
        <w:rPr>
          <w:szCs w:val="18"/>
        </w:rPr>
        <w:t>, non condiviso dalla Corte,</w:t>
      </w:r>
      <w:r w:rsidRPr="00464DEB">
        <w:rPr>
          <w:szCs w:val="18"/>
        </w:rPr>
        <w:t xml:space="preserve"> si rinviene </w:t>
      </w:r>
      <w:r w:rsidR="00E623B3">
        <w:rPr>
          <w:szCs w:val="18"/>
        </w:rPr>
        <w:t xml:space="preserve">ad esempio </w:t>
      </w:r>
      <w:r w:rsidRPr="00464DEB">
        <w:rPr>
          <w:szCs w:val="18"/>
        </w:rPr>
        <w:t xml:space="preserve">nelle conclusioni dell’A.G. Bobek, del 15 aprile 2021, C-561/19, </w:t>
      </w:r>
      <w:r w:rsidRPr="00AE6D2D">
        <w:rPr>
          <w:i/>
          <w:szCs w:val="18"/>
        </w:rPr>
        <w:t>Consorzio Italian Management e Catania Multiservizi SpA</w:t>
      </w:r>
      <w:r>
        <w:rPr>
          <w:i/>
          <w:szCs w:val="18"/>
        </w:rPr>
        <w:t xml:space="preserve"> c. </w:t>
      </w:r>
      <w:r w:rsidRPr="00AE6D2D">
        <w:rPr>
          <w:i/>
          <w:szCs w:val="18"/>
        </w:rPr>
        <w:t>Rete Ferroviaria Italiana SpA</w:t>
      </w:r>
      <w:r w:rsidRPr="00464DEB">
        <w:rPr>
          <w:szCs w:val="18"/>
        </w:rPr>
        <w:t>.</w:t>
      </w:r>
    </w:p>
  </w:footnote>
  <w:footnote w:id="80">
    <w:p w14:paraId="56122922"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22 ottobre 1987, 314/85, </w:t>
      </w:r>
      <w:r w:rsidRPr="00AE6D2D">
        <w:rPr>
          <w:i/>
          <w:szCs w:val="18"/>
        </w:rPr>
        <w:t>Foto-Frost c. Hauptzollamt Luebeck-Ost</w:t>
      </w:r>
      <w:r w:rsidRPr="00464DEB">
        <w:rPr>
          <w:szCs w:val="18"/>
        </w:rPr>
        <w:t>.</w:t>
      </w:r>
    </w:p>
  </w:footnote>
  <w:footnote w:id="81">
    <w:p w14:paraId="11C0D865"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Cfr., ad esempio, la giurisprudenza delle corti tedesche ed inglesi citata nelle conclusioni presentate dall’A.G. Mancini, del 19 maggio 1987, 314/85, </w:t>
      </w:r>
      <w:r w:rsidRPr="00AE6D2D">
        <w:rPr>
          <w:i/>
          <w:szCs w:val="18"/>
        </w:rPr>
        <w:t>Foto-Frost c. Hauptzollamt Luebeck-Ost</w:t>
      </w:r>
      <w:r w:rsidRPr="00464DEB">
        <w:rPr>
          <w:szCs w:val="18"/>
        </w:rPr>
        <w:t>, punto 4.</w:t>
      </w:r>
    </w:p>
  </w:footnote>
  <w:footnote w:id="82">
    <w:p w14:paraId="2E3A4268"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w:t>
      </w:r>
      <w:r w:rsidRPr="00AE6D2D">
        <w:rPr>
          <w:i/>
          <w:szCs w:val="18"/>
        </w:rPr>
        <w:t>Foto-Frost c. Hauptzollamt Luebeck-ost</w:t>
      </w:r>
      <w:r w:rsidRPr="00464DEB">
        <w:rPr>
          <w:iCs/>
          <w:szCs w:val="18"/>
        </w:rPr>
        <w:t>,</w:t>
      </w:r>
      <w:r w:rsidRPr="00AE6D2D">
        <w:rPr>
          <w:i/>
          <w:szCs w:val="18"/>
        </w:rPr>
        <w:t xml:space="preserve"> </w:t>
      </w:r>
      <w:r w:rsidRPr="00464DEB">
        <w:rPr>
          <w:iCs/>
          <w:szCs w:val="18"/>
        </w:rPr>
        <w:t>cit.</w:t>
      </w:r>
    </w:p>
  </w:footnote>
  <w:footnote w:id="83">
    <w:p w14:paraId="0C124D9A"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V. </w:t>
      </w:r>
      <w:r w:rsidRPr="00AE6D2D">
        <w:rPr>
          <w:i/>
          <w:szCs w:val="18"/>
        </w:rPr>
        <w:t>supra</w:t>
      </w:r>
      <w:r w:rsidRPr="00464DEB">
        <w:rPr>
          <w:szCs w:val="18"/>
        </w:rPr>
        <w:t>, nota 1.</w:t>
      </w:r>
    </w:p>
  </w:footnote>
  <w:footnote w:id="84">
    <w:p w14:paraId="36062A9B" w14:textId="77777777" w:rsidR="008F0581" w:rsidRPr="00F52656" w:rsidRDefault="008F0581" w:rsidP="002C4301">
      <w:pPr>
        <w:pStyle w:val="Testonotaapidipagina"/>
        <w:rPr>
          <w:spacing w:val="2"/>
          <w:szCs w:val="18"/>
        </w:rPr>
      </w:pPr>
      <w:r w:rsidRPr="00F52656">
        <w:rPr>
          <w:rStyle w:val="Rimandonotaapidipagina"/>
          <w:snapToGrid w:val="0"/>
          <w:spacing w:val="2"/>
          <w:szCs w:val="18"/>
          <w:u w:color="000000"/>
        </w:rPr>
        <w:footnoteRef/>
      </w:r>
      <w:r w:rsidRPr="00F52656">
        <w:rPr>
          <w:snapToGrid w:val="0"/>
          <w:spacing w:val="2"/>
          <w:szCs w:val="18"/>
          <w:u w:color="000000"/>
          <w:vertAlign w:val="superscript"/>
        </w:rPr>
        <w:t> </w:t>
      </w:r>
      <w:r w:rsidRPr="00F52656">
        <w:rPr>
          <w:spacing w:val="2"/>
          <w:szCs w:val="18"/>
        </w:rPr>
        <w:t xml:space="preserve">Supremo Tribunal Constitucional, sentenza 11 settembre 1995, n. 130, in </w:t>
      </w:r>
      <w:r w:rsidRPr="00F52656">
        <w:rPr>
          <w:i/>
          <w:spacing w:val="2"/>
          <w:szCs w:val="18"/>
        </w:rPr>
        <w:t>BJC</w:t>
      </w:r>
      <w:r w:rsidRPr="00F52656">
        <w:rPr>
          <w:spacing w:val="2"/>
          <w:szCs w:val="18"/>
        </w:rPr>
        <w:t>, 174, punto 13.</w:t>
      </w:r>
    </w:p>
  </w:footnote>
  <w:footnote w:id="85">
    <w:p w14:paraId="259D57DF"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Bundesverfassungsgericht, sentenza 22 ottobre 1986, in </w:t>
      </w:r>
      <w:r w:rsidRPr="00AE6D2D">
        <w:rPr>
          <w:i/>
          <w:szCs w:val="18"/>
        </w:rPr>
        <w:t>BVerfGE</w:t>
      </w:r>
      <w:r w:rsidRPr="00464DEB">
        <w:rPr>
          <w:szCs w:val="18"/>
        </w:rPr>
        <w:t xml:space="preserve">, 73, 339, 367; sentenza 4 novembre 1987, in </w:t>
      </w:r>
      <w:r w:rsidRPr="00AE6D2D">
        <w:rPr>
          <w:i/>
          <w:szCs w:val="18"/>
        </w:rPr>
        <w:t>Common Market Law Reports</w:t>
      </w:r>
      <w:r w:rsidRPr="00464DEB">
        <w:rPr>
          <w:szCs w:val="18"/>
        </w:rPr>
        <w:t>, 1989, p. 113.</w:t>
      </w:r>
    </w:p>
  </w:footnote>
  <w:footnote w:id="86">
    <w:p w14:paraId="2040DE81" w14:textId="55F7486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21 dicembre 2021, C-497/20, </w:t>
      </w:r>
      <w:r w:rsidRPr="00AE6D2D">
        <w:rPr>
          <w:i/>
          <w:iCs/>
          <w:szCs w:val="18"/>
        </w:rPr>
        <w:t>Randstad Italia</w:t>
      </w:r>
      <w:r w:rsidRPr="00464DEB">
        <w:rPr>
          <w:szCs w:val="18"/>
        </w:rPr>
        <w:t>.</w:t>
      </w:r>
    </w:p>
  </w:footnote>
  <w:footnote w:id="87">
    <w:p w14:paraId="73A4C231"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7 luglio 2022, C-261/21, </w:t>
      </w:r>
      <w:r w:rsidRPr="00AE6D2D">
        <w:rPr>
          <w:i/>
          <w:iCs/>
          <w:szCs w:val="18"/>
        </w:rPr>
        <w:t>F. Hoffmann-La Roche e a</w:t>
      </w:r>
      <w:r w:rsidRPr="00464DEB">
        <w:rPr>
          <w:szCs w:val="18"/>
        </w:rPr>
        <w:t>.</w:t>
      </w:r>
    </w:p>
  </w:footnote>
  <w:footnote w:id="88">
    <w:p w14:paraId="12BACF02"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Risposta all’interrogazione scritta n. 526/83 dell’on. Alan Tyrrel alla Commissione, in </w:t>
      </w:r>
      <w:r w:rsidRPr="00AE6D2D">
        <w:rPr>
          <w:i/>
          <w:szCs w:val="18"/>
        </w:rPr>
        <w:t>GUCE</w:t>
      </w:r>
      <w:r w:rsidRPr="00464DEB">
        <w:rPr>
          <w:szCs w:val="18"/>
        </w:rPr>
        <w:t xml:space="preserve"> del 6 ottobre 1983, n. C 268, p. 25.</w:t>
      </w:r>
    </w:p>
  </w:footnote>
  <w:footnote w:id="89">
    <w:p w14:paraId="23A44749" w14:textId="77777777" w:rsidR="00582B6E" w:rsidRPr="00464DEB" w:rsidRDefault="00582B6E" w:rsidP="00582B6E">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w:t>
      </w:r>
      <w:r w:rsidRPr="00AE6D2D">
        <w:rPr>
          <w:i/>
          <w:szCs w:val="18"/>
        </w:rPr>
        <w:t>Commissione c. Italia</w:t>
      </w:r>
      <w:r w:rsidRPr="00464DEB">
        <w:rPr>
          <w:szCs w:val="18"/>
        </w:rPr>
        <w:t>, cit., punto 29.</w:t>
      </w:r>
    </w:p>
  </w:footnote>
  <w:footnote w:id="90">
    <w:p w14:paraId="6822D208"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iCs/>
          <w:szCs w:val="18"/>
        </w:rPr>
        <w:t>Commissione c. Italia</w:t>
      </w:r>
      <w:r w:rsidRPr="00464DEB">
        <w:rPr>
          <w:szCs w:val="18"/>
        </w:rPr>
        <w:t>, cit., punto 32.</w:t>
      </w:r>
    </w:p>
  </w:footnote>
  <w:footnote w:id="91">
    <w:p w14:paraId="1AE05EEA"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4 ottobre 2018, C-416/17, </w:t>
      </w:r>
      <w:r w:rsidRPr="00AE6D2D">
        <w:rPr>
          <w:i/>
          <w:iCs/>
          <w:szCs w:val="18"/>
        </w:rPr>
        <w:t>Commissione c. Francia</w:t>
      </w:r>
      <w:r w:rsidRPr="00464DEB">
        <w:rPr>
          <w:szCs w:val="18"/>
        </w:rPr>
        <w:t>.</w:t>
      </w:r>
    </w:p>
  </w:footnote>
  <w:footnote w:id="92">
    <w:p w14:paraId="2CA600F7"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30 settembre 2003, C-224/01, </w:t>
      </w:r>
      <w:r w:rsidRPr="00AE6D2D">
        <w:rPr>
          <w:i/>
          <w:szCs w:val="18"/>
        </w:rPr>
        <w:t>Köbler c. Austria</w:t>
      </w:r>
      <w:r w:rsidRPr="00464DEB">
        <w:rPr>
          <w:szCs w:val="18"/>
        </w:rPr>
        <w:t>, punto 50.</w:t>
      </w:r>
    </w:p>
  </w:footnote>
  <w:footnote w:id="93">
    <w:p w14:paraId="777FC1EB" w14:textId="4223BD54" w:rsidR="008F0581" w:rsidRPr="000D3AEA" w:rsidRDefault="008F0581" w:rsidP="002C4301">
      <w:pPr>
        <w:pStyle w:val="Testonotaapidipagina"/>
        <w:rPr>
          <w:spacing w:val="-2"/>
          <w:szCs w:val="18"/>
        </w:rPr>
      </w:pPr>
      <w:r w:rsidRPr="000D3AEA">
        <w:rPr>
          <w:rStyle w:val="Rimandonotaapidipagina"/>
          <w:snapToGrid w:val="0"/>
          <w:spacing w:val="-2"/>
          <w:szCs w:val="18"/>
          <w:u w:color="000000"/>
        </w:rPr>
        <w:footnoteRef/>
      </w:r>
      <w:r w:rsidRPr="000D3AEA">
        <w:rPr>
          <w:snapToGrid w:val="0"/>
          <w:spacing w:val="-2"/>
          <w:szCs w:val="18"/>
          <w:u w:color="000000"/>
          <w:vertAlign w:val="superscript"/>
        </w:rPr>
        <w:t> </w:t>
      </w:r>
      <w:r w:rsidRPr="000D3AEA">
        <w:rPr>
          <w:spacing w:val="-2"/>
          <w:szCs w:val="18"/>
        </w:rPr>
        <w:t>Corte giust. (Grande Sez</w:t>
      </w:r>
      <w:r w:rsidR="0024442F" w:rsidRPr="000D3AEA">
        <w:rPr>
          <w:spacing w:val="-2"/>
          <w:szCs w:val="18"/>
        </w:rPr>
        <w:t>.</w:t>
      </w:r>
      <w:r w:rsidRPr="000D3AEA">
        <w:rPr>
          <w:spacing w:val="-2"/>
          <w:szCs w:val="18"/>
        </w:rPr>
        <w:t xml:space="preserve">), 13 giugno 2006, C-173/03, </w:t>
      </w:r>
      <w:r w:rsidRPr="000D3AEA">
        <w:rPr>
          <w:i/>
          <w:spacing w:val="-2"/>
          <w:szCs w:val="18"/>
        </w:rPr>
        <w:t>Traghetti del Mediterraneo SpA c. Italia</w:t>
      </w:r>
      <w:r w:rsidRPr="000D3AEA">
        <w:rPr>
          <w:spacing w:val="-2"/>
          <w:szCs w:val="18"/>
        </w:rPr>
        <w:t>.</w:t>
      </w:r>
    </w:p>
  </w:footnote>
  <w:footnote w:id="94">
    <w:p w14:paraId="7B3F4B6E" w14:textId="7F745D71"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w:t>
      </w:r>
      <w:r w:rsidRPr="00AE6D2D">
        <w:rPr>
          <w:i/>
          <w:szCs w:val="18"/>
        </w:rPr>
        <w:t>Köbler c. Austria</w:t>
      </w:r>
      <w:r w:rsidRPr="00464DEB">
        <w:rPr>
          <w:szCs w:val="18"/>
        </w:rPr>
        <w:t xml:space="preserve">, </w:t>
      </w:r>
      <w:r w:rsidR="00DA53AB">
        <w:rPr>
          <w:szCs w:val="18"/>
        </w:rPr>
        <w:t xml:space="preserve">cit., </w:t>
      </w:r>
      <w:r w:rsidRPr="00464DEB">
        <w:rPr>
          <w:szCs w:val="18"/>
        </w:rPr>
        <w:t>punto 51.</w:t>
      </w:r>
    </w:p>
  </w:footnote>
  <w:footnote w:id="95">
    <w:p w14:paraId="463DACED"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EDU 20 settembre 2011, ricc. nn. 3989/97 e 38353/07, </w:t>
      </w:r>
      <w:r w:rsidRPr="00AE6D2D">
        <w:rPr>
          <w:i/>
          <w:szCs w:val="18"/>
        </w:rPr>
        <w:t>Ullens De Schooten e Rezabek c. Belgio</w:t>
      </w:r>
      <w:r w:rsidRPr="00464DEB">
        <w:rPr>
          <w:szCs w:val="18"/>
        </w:rPr>
        <w:t>.</w:t>
      </w:r>
    </w:p>
  </w:footnote>
  <w:footnote w:id="96">
    <w:p w14:paraId="471FE494"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EDU 21 luglio 2015, ric. n. 38369/09,</w:t>
      </w:r>
      <w:r w:rsidRPr="00AE6D2D">
        <w:rPr>
          <w:i/>
          <w:iCs/>
          <w:szCs w:val="18"/>
        </w:rPr>
        <w:t xml:space="preserve"> Schipani c. Italia</w:t>
      </w:r>
      <w:r w:rsidRPr="00464DEB">
        <w:rPr>
          <w:szCs w:val="18"/>
        </w:rPr>
        <w:t xml:space="preserve">; 8 aprile 2014, ric. n. 17120/09, </w:t>
      </w:r>
      <w:r w:rsidRPr="00AE6D2D">
        <w:rPr>
          <w:i/>
          <w:iCs/>
          <w:szCs w:val="18"/>
        </w:rPr>
        <w:t>Dhahbi c. Italia</w:t>
      </w:r>
      <w:r w:rsidRPr="00464DEB">
        <w:rPr>
          <w:szCs w:val="18"/>
        </w:rPr>
        <w:t>.</w:t>
      </w:r>
    </w:p>
  </w:footnote>
  <w:footnote w:id="97">
    <w:p w14:paraId="2D90CB7F"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EDU 8 settembre 2015, ric. n. 5159/14,</w:t>
      </w:r>
      <w:r w:rsidRPr="00AE6D2D">
        <w:rPr>
          <w:i/>
          <w:iCs/>
          <w:szCs w:val="18"/>
        </w:rPr>
        <w:t xml:space="preserve"> Wind Telecomunicazioni S.P.A. c. Italia</w:t>
      </w:r>
      <w:r w:rsidRPr="00464DEB">
        <w:rPr>
          <w:szCs w:val="18"/>
        </w:rPr>
        <w:t>.</w:t>
      </w:r>
    </w:p>
  </w:footnote>
  <w:footnote w:id="98">
    <w:p w14:paraId="26DB96CA" w14:textId="42FF3949"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napToGrid w:val="0"/>
          <w:szCs w:val="18"/>
          <w:u w:color="000000"/>
        </w:rPr>
        <w:t xml:space="preserve">Da ultimo </w:t>
      </w:r>
      <w:r w:rsidRPr="00464DEB">
        <w:rPr>
          <w:szCs w:val="18"/>
        </w:rPr>
        <w:t>Corte giust. (Grande Sez</w:t>
      </w:r>
      <w:r w:rsidR="0024442F">
        <w:rPr>
          <w:szCs w:val="18"/>
        </w:rPr>
        <w:t>.</w:t>
      </w:r>
      <w:r w:rsidRPr="00464DEB">
        <w:rPr>
          <w:szCs w:val="18"/>
        </w:rPr>
        <w:t>) 21 dicembre 2023, C-66/22,</w:t>
      </w:r>
      <w:r w:rsidRPr="00AE6D2D">
        <w:rPr>
          <w:i/>
          <w:szCs w:val="18"/>
        </w:rPr>
        <w:t xml:space="preserve"> Infraestruturas de Portugal,</w:t>
      </w:r>
      <w:r w:rsidRPr="00464DEB">
        <w:rPr>
          <w:szCs w:val="18"/>
        </w:rPr>
        <w:t xml:space="preserve"> punti 32 ss.; (Grande Sez</w:t>
      </w:r>
      <w:r w:rsidR="0024442F">
        <w:rPr>
          <w:szCs w:val="18"/>
        </w:rPr>
        <w:t>.</w:t>
      </w:r>
      <w:r w:rsidRPr="00464DEB">
        <w:rPr>
          <w:szCs w:val="18"/>
        </w:rPr>
        <w:t xml:space="preserve">) 25 giugno 2024, C-626/22, </w:t>
      </w:r>
      <w:r w:rsidRPr="00AE6D2D">
        <w:rPr>
          <w:i/>
          <w:szCs w:val="18"/>
        </w:rPr>
        <w:t>Ilva SpA</w:t>
      </w:r>
      <w:r w:rsidRPr="00464DEB">
        <w:rPr>
          <w:szCs w:val="18"/>
        </w:rPr>
        <w:t>, punti 46 ss.</w:t>
      </w:r>
    </w:p>
  </w:footnote>
  <w:footnote w:id="99">
    <w:p w14:paraId="51347A14"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29 novembre 1978, 83/78, </w:t>
      </w:r>
      <w:r w:rsidRPr="00AE6D2D">
        <w:rPr>
          <w:i/>
          <w:szCs w:val="18"/>
        </w:rPr>
        <w:t>Pigs Marketing Board c. Raymond Redmond</w:t>
      </w:r>
      <w:r w:rsidRPr="00464DEB">
        <w:rPr>
          <w:szCs w:val="18"/>
        </w:rPr>
        <w:t xml:space="preserve">, punto 26; 21 febbraio 2008, C-296/06, </w:t>
      </w:r>
      <w:r w:rsidRPr="00AE6D2D">
        <w:rPr>
          <w:i/>
          <w:szCs w:val="18"/>
        </w:rPr>
        <w:t>Telecom Italia SpA</w:t>
      </w:r>
      <w:r w:rsidRPr="00464DEB">
        <w:rPr>
          <w:szCs w:val="18"/>
        </w:rPr>
        <w:t>.</w:t>
      </w:r>
    </w:p>
  </w:footnote>
  <w:footnote w:id="100">
    <w:p w14:paraId="653C4208" w14:textId="6A3F0978" w:rsidR="0044651B" w:rsidRDefault="0044651B">
      <w:pPr>
        <w:pStyle w:val="Testonotaapidipagina"/>
      </w:pPr>
      <w:r>
        <w:rPr>
          <w:rStyle w:val="Rimandonotaapidipagina"/>
        </w:rPr>
        <w:footnoteRef/>
      </w:r>
      <w:r>
        <w:t xml:space="preserve"> Corte giust. (Grande Sez</w:t>
      </w:r>
      <w:r w:rsidR="0024442F">
        <w:t>.</w:t>
      </w:r>
      <w:r>
        <w:t xml:space="preserve">), 9 gennaio 2024, C-181/21 e C-269/21, </w:t>
      </w:r>
      <w:r w:rsidRPr="007B7251">
        <w:rPr>
          <w:i/>
        </w:rPr>
        <w:t>G. e a. (nomina dei giudici di diritto comune in Polonia</w:t>
      </w:r>
      <w:r>
        <w:t>); 1° aprile 2024, C-114/23</w:t>
      </w:r>
      <w:r w:rsidR="00937DC6">
        <w:t xml:space="preserve">, </w:t>
      </w:r>
      <w:r w:rsidRPr="007B7251">
        <w:rPr>
          <w:i/>
        </w:rPr>
        <w:t>S</w:t>
      </w:r>
      <w:r w:rsidR="00937DC6">
        <w:rPr>
          <w:i/>
        </w:rPr>
        <w:t>ap</w:t>
      </w:r>
      <w:r w:rsidRPr="007B7251">
        <w:rPr>
          <w:i/>
        </w:rPr>
        <w:t>ira</w:t>
      </w:r>
      <w:r>
        <w:t>.</w:t>
      </w:r>
    </w:p>
  </w:footnote>
  <w:footnote w:id="101">
    <w:p w14:paraId="53BE14E8" w14:textId="4CC9E0BE"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AE6D2D">
        <w:rPr>
          <w:i/>
          <w:iCs/>
          <w:szCs w:val="18"/>
        </w:rPr>
        <w:t>Ex multis</w:t>
      </w:r>
      <w:r w:rsidRPr="00464DEB">
        <w:rPr>
          <w:szCs w:val="18"/>
        </w:rPr>
        <w:t>., Corte giust.</w:t>
      </w:r>
      <w:r w:rsidR="0044651B">
        <w:rPr>
          <w:szCs w:val="18"/>
        </w:rPr>
        <w:t xml:space="preserve"> (Grande Sez</w:t>
      </w:r>
      <w:r w:rsidR="0024442F">
        <w:rPr>
          <w:szCs w:val="18"/>
        </w:rPr>
        <w:t>.</w:t>
      </w:r>
      <w:r w:rsidR="0044651B">
        <w:rPr>
          <w:szCs w:val="18"/>
        </w:rPr>
        <w:t>)</w:t>
      </w:r>
      <w:r w:rsidRPr="00464DEB">
        <w:rPr>
          <w:szCs w:val="18"/>
        </w:rPr>
        <w:t>, 22 giugno 2023,</w:t>
      </w:r>
      <w:r w:rsidR="0044651B">
        <w:rPr>
          <w:szCs w:val="18"/>
        </w:rPr>
        <w:t xml:space="preserve"> </w:t>
      </w:r>
      <w:r w:rsidR="0044651B" w:rsidRPr="00464DEB">
        <w:rPr>
          <w:szCs w:val="18"/>
        </w:rPr>
        <w:t>C</w:t>
      </w:r>
      <w:r w:rsidR="0044651B" w:rsidRPr="00464DEB">
        <w:rPr>
          <w:szCs w:val="18"/>
        </w:rPr>
        <w:noBreakHyphen/>
        <w:t>660/21,</w:t>
      </w:r>
      <w:r w:rsidRPr="00464DEB">
        <w:rPr>
          <w:szCs w:val="18"/>
        </w:rPr>
        <w:t xml:space="preserve"> </w:t>
      </w:r>
      <w:r w:rsidRPr="00AE6D2D">
        <w:rPr>
          <w:i/>
          <w:szCs w:val="18"/>
        </w:rPr>
        <w:t>K.B. e F.S</w:t>
      </w:r>
      <w:r w:rsidRPr="00464DEB">
        <w:rPr>
          <w:szCs w:val="18"/>
        </w:rPr>
        <w:t xml:space="preserve">. </w:t>
      </w:r>
      <w:r w:rsidRPr="00AE6D2D">
        <w:rPr>
          <w:i/>
          <w:szCs w:val="18"/>
        </w:rPr>
        <w:t>(Rilevabilità d’ufficio di una questione in ambito penale)</w:t>
      </w:r>
      <w:r w:rsidRPr="00464DEB">
        <w:rPr>
          <w:szCs w:val="18"/>
        </w:rPr>
        <w:t>, punto 26 .</w:t>
      </w:r>
    </w:p>
  </w:footnote>
  <w:footnote w:id="102">
    <w:p w14:paraId="3E34E69E"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(ord.), 16 maggio 1994, C-428/93, </w:t>
      </w:r>
      <w:r w:rsidRPr="00AE6D2D">
        <w:rPr>
          <w:i/>
          <w:szCs w:val="18"/>
        </w:rPr>
        <w:t>Liquidazione Monin Automobiles-Maison Du Deux Roues</w:t>
      </w:r>
      <w:r w:rsidRPr="00464DEB">
        <w:rPr>
          <w:szCs w:val="18"/>
        </w:rPr>
        <w:t>, punti 15-16.</w:t>
      </w:r>
    </w:p>
  </w:footnote>
  <w:footnote w:id="103">
    <w:p w14:paraId="60ECCBA7" w14:textId="77777777" w:rsidR="008F0581" w:rsidRPr="00AE5E64" w:rsidRDefault="008F0581" w:rsidP="002C4301">
      <w:pPr>
        <w:pStyle w:val="Testonotaapidipagina"/>
        <w:rPr>
          <w:szCs w:val="18"/>
          <w:lang w:val="en-US"/>
        </w:rPr>
      </w:pPr>
      <w:r w:rsidRPr="006E1027">
        <w:rPr>
          <w:rStyle w:val="Rimandonotaapidipagina"/>
          <w:snapToGrid w:val="0"/>
          <w:szCs w:val="18"/>
          <w:u w:color="000000"/>
        </w:rPr>
        <w:footnoteRef/>
      </w:r>
      <w:r w:rsidRPr="00AE5E64">
        <w:rPr>
          <w:snapToGrid w:val="0"/>
          <w:szCs w:val="18"/>
          <w:u w:color="000000"/>
          <w:vertAlign w:val="superscript"/>
          <w:lang w:val="en-US"/>
        </w:rPr>
        <w:t> </w:t>
      </w:r>
      <w:r w:rsidRPr="00AE5E64">
        <w:rPr>
          <w:szCs w:val="18"/>
          <w:lang w:val="en-US"/>
        </w:rPr>
        <w:t xml:space="preserve">Corte giust., 16 luglio 1992, C-83/91, </w:t>
      </w:r>
      <w:r w:rsidRPr="00AE5E64">
        <w:rPr>
          <w:i/>
          <w:szCs w:val="18"/>
          <w:lang w:val="en-US"/>
        </w:rPr>
        <w:t>Meilicke c. ADV/ORGA f. a. Meyer AG</w:t>
      </w:r>
      <w:r w:rsidRPr="00AE5E64">
        <w:rPr>
          <w:szCs w:val="18"/>
          <w:lang w:val="en-US"/>
        </w:rPr>
        <w:t xml:space="preserve">, punti 30-32; 16 luglio 1992, C-343/90, </w:t>
      </w:r>
      <w:r w:rsidRPr="00AE5E64">
        <w:rPr>
          <w:i/>
          <w:szCs w:val="18"/>
          <w:lang w:val="en-US"/>
        </w:rPr>
        <w:t>Lourenço Dias c. Director da Alfandega do Porto</w:t>
      </w:r>
      <w:r w:rsidRPr="00AE5E64">
        <w:rPr>
          <w:szCs w:val="18"/>
          <w:lang w:val="en-US"/>
        </w:rPr>
        <w:t xml:space="preserve">, punti 17 ss.; 7 gennaio 2004, C-201/02, </w:t>
      </w:r>
      <w:r w:rsidRPr="00AE5E64">
        <w:rPr>
          <w:i/>
          <w:szCs w:val="18"/>
          <w:lang w:val="en-US"/>
        </w:rPr>
        <w:t>The Queen su domanda di</w:t>
      </w:r>
      <w:r w:rsidRPr="00AE5E64">
        <w:rPr>
          <w:szCs w:val="18"/>
          <w:lang w:val="en-US"/>
        </w:rPr>
        <w:t xml:space="preserve"> </w:t>
      </w:r>
      <w:r w:rsidRPr="00AE5E64">
        <w:rPr>
          <w:i/>
          <w:szCs w:val="18"/>
          <w:lang w:val="en-US"/>
        </w:rPr>
        <w:t>Wells c. Secretary of State for Transport</w:t>
      </w:r>
      <w:r w:rsidRPr="00AE5E64">
        <w:rPr>
          <w:szCs w:val="18"/>
          <w:lang w:val="en-US"/>
        </w:rPr>
        <w:t xml:space="preserve"> </w:t>
      </w:r>
      <w:r w:rsidRPr="00AE5E64">
        <w:rPr>
          <w:i/>
          <w:szCs w:val="18"/>
          <w:lang w:val="en-US"/>
        </w:rPr>
        <w:t>Local Government and the Regions</w:t>
      </w:r>
      <w:r w:rsidRPr="00AE5E64">
        <w:rPr>
          <w:szCs w:val="18"/>
          <w:lang w:val="en-US"/>
        </w:rPr>
        <w:t>.</w:t>
      </w:r>
    </w:p>
  </w:footnote>
  <w:footnote w:id="104">
    <w:p w14:paraId="774DAA5E" w14:textId="77777777" w:rsidR="008F0581" w:rsidRPr="00930396" w:rsidRDefault="008F0581" w:rsidP="002C4301">
      <w:pPr>
        <w:pStyle w:val="Testonotaapidipagina"/>
        <w:rPr>
          <w:szCs w:val="18"/>
        </w:rPr>
      </w:pPr>
      <w:r w:rsidRPr="006E1027">
        <w:rPr>
          <w:rStyle w:val="Rimandonotaapidipagina"/>
          <w:snapToGrid w:val="0"/>
          <w:szCs w:val="18"/>
          <w:u w:color="000000"/>
        </w:rPr>
        <w:footnoteRef/>
      </w:r>
      <w:r w:rsidRPr="00930396">
        <w:rPr>
          <w:snapToGrid w:val="0"/>
          <w:szCs w:val="18"/>
          <w:u w:color="000000"/>
          <w:vertAlign w:val="superscript"/>
        </w:rPr>
        <w:t> </w:t>
      </w:r>
      <w:r w:rsidRPr="00930396">
        <w:rPr>
          <w:szCs w:val="18"/>
        </w:rPr>
        <w:t xml:space="preserve">Corte giust., 22 novembre 1978, 93/78, </w:t>
      </w:r>
      <w:r w:rsidRPr="00930396">
        <w:rPr>
          <w:i/>
          <w:szCs w:val="18"/>
        </w:rPr>
        <w:t>Mattheus c. Doego Fruchtimport und Tiefkühlkost eG</w:t>
      </w:r>
      <w:r w:rsidRPr="00930396">
        <w:rPr>
          <w:szCs w:val="18"/>
        </w:rPr>
        <w:t>, punto 8.</w:t>
      </w:r>
    </w:p>
  </w:footnote>
  <w:footnote w:id="105">
    <w:p w14:paraId="798DDD25"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21 aprile 1988, 338/85, </w:t>
      </w:r>
      <w:r w:rsidRPr="00AE6D2D">
        <w:rPr>
          <w:i/>
          <w:szCs w:val="18"/>
        </w:rPr>
        <w:t>Fratelli Pardini SpA c. Ministero del Commercio con l’Estero e Banca Toscana</w:t>
      </w:r>
      <w:r w:rsidRPr="00464DEB">
        <w:rPr>
          <w:szCs w:val="18"/>
        </w:rPr>
        <w:t>, punto 11.</w:t>
      </w:r>
    </w:p>
  </w:footnote>
  <w:footnote w:id="106">
    <w:p w14:paraId="5269BE2A"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19 ottobre 1995, C-111/94, </w:t>
      </w:r>
      <w:r w:rsidRPr="00AE6D2D">
        <w:rPr>
          <w:i/>
          <w:szCs w:val="18"/>
        </w:rPr>
        <w:t>Job Centre Coop. ARL</w:t>
      </w:r>
      <w:r w:rsidRPr="00464DEB">
        <w:rPr>
          <w:szCs w:val="18"/>
        </w:rPr>
        <w:t xml:space="preserve">; (ord.) 6 ottobre 2005, C-256/05, </w:t>
      </w:r>
      <w:r w:rsidRPr="00AE6D2D">
        <w:rPr>
          <w:i/>
          <w:szCs w:val="18"/>
        </w:rPr>
        <w:t>Telekom Austria</w:t>
      </w:r>
      <w:r w:rsidRPr="00464DEB">
        <w:rPr>
          <w:szCs w:val="18"/>
        </w:rPr>
        <w:t>.</w:t>
      </w:r>
    </w:p>
  </w:footnote>
  <w:footnote w:id="107">
    <w:p w14:paraId="3DB1367D"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16 ottobre 1997, C-69/96, </w:t>
      </w:r>
      <w:r w:rsidRPr="00AE6D2D">
        <w:rPr>
          <w:i/>
          <w:szCs w:val="18"/>
        </w:rPr>
        <w:t>Garofalo e a.</w:t>
      </w:r>
      <w:r w:rsidRPr="00AE6D2D">
        <w:rPr>
          <w:b/>
          <w:i/>
          <w:szCs w:val="18"/>
        </w:rPr>
        <w:t xml:space="preserve"> </w:t>
      </w:r>
      <w:r w:rsidRPr="00AE6D2D">
        <w:rPr>
          <w:i/>
          <w:szCs w:val="18"/>
        </w:rPr>
        <w:t>c. Ministero della Sanità e a.</w:t>
      </w:r>
    </w:p>
  </w:footnote>
  <w:footnote w:id="108">
    <w:p w14:paraId="52841C18" w14:textId="77777777" w:rsidR="008F0581" w:rsidRPr="00464DEB" w:rsidRDefault="008F0581" w:rsidP="002C4301">
      <w:pPr>
        <w:pStyle w:val="Testonotaapidipagina"/>
        <w:rPr>
          <w:szCs w:val="18"/>
          <w:lang w:val="de-DE"/>
        </w:rPr>
      </w:pPr>
      <w:r w:rsidRPr="006E1027">
        <w:rPr>
          <w:rStyle w:val="Rimandonotaapidipagina"/>
          <w:snapToGrid w:val="0"/>
          <w:szCs w:val="18"/>
          <w:u w:color="000000"/>
        </w:rPr>
        <w:footnoteRef/>
      </w:r>
      <w:r>
        <w:rPr>
          <w:snapToGrid w:val="0"/>
          <w:szCs w:val="18"/>
          <w:u w:color="000000"/>
          <w:vertAlign w:val="superscript"/>
          <w:lang w:val="de-DE"/>
        </w:rPr>
        <w:t> </w:t>
      </w:r>
      <w:r w:rsidRPr="00464DEB">
        <w:rPr>
          <w:szCs w:val="18"/>
          <w:lang w:val="de-DE"/>
        </w:rPr>
        <w:t xml:space="preserve">Corte giust., </w:t>
      </w:r>
      <w:r w:rsidRPr="00AE6D2D">
        <w:rPr>
          <w:i/>
          <w:szCs w:val="18"/>
          <w:lang w:val="de-DE"/>
        </w:rPr>
        <w:t>Hoffman-La Roche AG c. Centrafarm Vertriebsgesellschaft Pharmazeutischer Erzeugnisse mbH</w:t>
      </w:r>
      <w:r w:rsidRPr="00464DEB">
        <w:rPr>
          <w:iCs/>
          <w:szCs w:val="18"/>
          <w:lang w:val="de-DE"/>
        </w:rPr>
        <w:t>, cit</w:t>
      </w:r>
      <w:r w:rsidRPr="00464DEB">
        <w:rPr>
          <w:szCs w:val="18"/>
          <w:lang w:val="de-DE"/>
        </w:rPr>
        <w:t>.</w:t>
      </w:r>
    </w:p>
  </w:footnote>
  <w:footnote w:id="109">
    <w:p w14:paraId="3136B7E2" w14:textId="3D158884" w:rsidR="008F0581" w:rsidRPr="000D3AEA" w:rsidRDefault="008F0581" w:rsidP="002C4301">
      <w:pPr>
        <w:pStyle w:val="Testonotaapidipagina"/>
        <w:rPr>
          <w:spacing w:val="-2"/>
          <w:szCs w:val="18"/>
        </w:rPr>
      </w:pPr>
      <w:r w:rsidRPr="000D3AEA">
        <w:rPr>
          <w:rStyle w:val="Rimandonotaapidipagina"/>
          <w:snapToGrid w:val="0"/>
          <w:spacing w:val="-2"/>
          <w:szCs w:val="18"/>
          <w:u w:color="000000"/>
        </w:rPr>
        <w:footnoteRef/>
      </w:r>
      <w:r w:rsidRPr="000D3AEA">
        <w:rPr>
          <w:snapToGrid w:val="0"/>
          <w:spacing w:val="-2"/>
          <w:szCs w:val="18"/>
          <w:u w:color="000000"/>
          <w:vertAlign w:val="superscript"/>
        </w:rPr>
        <w:t> </w:t>
      </w:r>
      <w:r w:rsidRPr="000D3AEA">
        <w:rPr>
          <w:spacing w:val="-2"/>
          <w:szCs w:val="18"/>
        </w:rPr>
        <w:t xml:space="preserve">Cfr. Corte giust., 26 gennaio 1993, C-320/90, C-321/90 e C-322/90, </w:t>
      </w:r>
      <w:r w:rsidRPr="000D3AEA">
        <w:rPr>
          <w:i/>
          <w:spacing w:val="-2"/>
          <w:szCs w:val="18"/>
        </w:rPr>
        <w:t>Telemarsicabruzzo SpA e a. c. Circostel e a.</w:t>
      </w:r>
      <w:r w:rsidRPr="000D3AEA">
        <w:rPr>
          <w:spacing w:val="-2"/>
          <w:szCs w:val="18"/>
        </w:rPr>
        <w:t xml:space="preserve">; nello stesso senso, </w:t>
      </w:r>
      <w:r w:rsidRPr="000D3AEA">
        <w:rPr>
          <w:i/>
          <w:spacing w:val="-2"/>
          <w:szCs w:val="18"/>
        </w:rPr>
        <w:t>inter alia</w:t>
      </w:r>
      <w:r w:rsidRPr="000D3AEA">
        <w:rPr>
          <w:spacing w:val="-2"/>
          <w:szCs w:val="18"/>
        </w:rPr>
        <w:t>, Corte giust. (Grande Sez</w:t>
      </w:r>
      <w:r w:rsidR="0024442F" w:rsidRPr="000D3AEA">
        <w:rPr>
          <w:spacing w:val="-2"/>
          <w:szCs w:val="18"/>
        </w:rPr>
        <w:t>.</w:t>
      </w:r>
      <w:r w:rsidRPr="000D3AEA">
        <w:rPr>
          <w:spacing w:val="-2"/>
          <w:szCs w:val="18"/>
        </w:rPr>
        <w:t xml:space="preserve">), 6 dicembre 2005, C-453/03, C-12/04 e C-194/04, </w:t>
      </w:r>
      <w:r w:rsidRPr="000D3AEA">
        <w:rPr>
          <w:i/>
          <w:spacing w:val="-2"/>
          <w:szCs w:val="18"/>
        </w:rPr>
        <w:t>ABNA Ltd. e a</w:t>
      </w:r>
      <w:r w:rsidRPr="000D3AEA">
        <w:rPr>
          <w:spacing w:val="-2"/>
          <w:szCs w:val="18"/>
        </w:rPr>
        <w:t xml:space="preserve">., punto 45; 8 gennaio 2008, C-380/05, </w:t>
      </w:r>
      <w:r w:rsidRPr="000D3AEA">
        <w:rPr>
          <w:i/>
          <w:spacing w:val="-2"/>
          <w:szCs w:val="18"/>
        </w:rPr>
        <w:t>Centro Europa 7</w:t>
      </w:r>
      <w:r w:rsidRPr="000D3AEA">
        <w:rPr>
          <w:spacing w:val="-2"/>
          <w:szCs w:val="18"/>
        </w:rPr>
        <w:t>.</w:t>
      </w:r>
    </w:p>
  </w:footnote>
  <w:footnote w:id="110">
    <w:p w14:paraId="1B3939E9"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Cfr., ad esempio, le osservazioni del governo danese nelle cause 141/81, 142/81 e 143/81, 1°</w:t>
      </w:r>
      <w:r>
        <w:rPr>
          <w:szCs w:val="18"/>
        </w:rPr>
        <w:t xml:space="preserve"> </w:t>
      </w:r>
      <w:r w:rsidRPr="00464DEB">
        <w:rPr>
          <w:szCs w:val="18"/>
        </w:rPr>
        <w:t xml:space="preserve">aprile 1982, </w:t>
      </w:r>
      <w:r w:rsidRPr="00AE6D2D">
        <w:rPr>
          <w:i/>
          <w:szCs w:val="18"/>
        </w:rPr>
        <w:t>Holdijk e a.</w:t>
      </w:r>
      <w:r w:rsidRPr="00464DEB">
        <w:rPr>
          <w:szCs w:val="18"/>
        </w:rPr>
        <w:t>, punto 4.</w:t>
      </w:r>
    </w:p>
  </w:footnote>
  <w:footnote w:id="111">
    <w:p w14:paraId="7D6F6D31"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(ord.), 7 aprile 1995, C-167/94, </w:t>
      </w:r>
      <w:r w:rsidRPr="00AE6D2D">
        <w:rPr>
          <w:i/>
          <w:szCs w:val="18"/>
        </w:rPr>
        <w:t>Procedimento penale a carico di</w:t>
      </w:r>
      <w:r w:rsidRPr="00464DEB">
        <w:rPr>
          <w:szCs w:val="18"/>
        </w:rPr>
        <w:t xml:space="preserve"> </w:t>
      </w:r>
      <w:r w:rsidRPr="00AE6D2D">
        <w:rPr>
          <w:i/>
          <w:szCs w:val="18"/>
        </w:rPr>
        <w:t>Grau Gomis e a</w:t>
      </w:r>
      <w:r w:rsidRPr="00464DEB">
        <w:rPr>
          <w:szCs w:val="18"/>
        </w:rPr>
        <w:t>., punto 9; (ord.), 13 luglio 2006, C-166/06,</w:t>
      </w:r>
      <w:r w:rsidRPr="00AE6D2D">
        <w:rPr>
          <w:i/>
          <w:szCs w:val="18"/>
        </w:rPr>
        <w:t xml:space="preserve"> Eurodomus s.r.l. c. Comune di Bolzano</w:t>
      </w:r>
      <w:r w:rsidRPr="00464DEB">
        <w:rPr>
          <w:szCs w:val="18"/>
        </w:rPr>
        <w:t>, punto 8.</w:t>
      </w:r>
    </w:p>
  </w:footnote>
  <w:footnote w:id="112">
    <w:p w14:paraId="36BCF0EE"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(ord.), 23 marzo 1995, C-458/93, </w:t>
      </w:r>
      <w:r w:rsidRPr="00AE6D2D">
        <w:rPr>
          <w:i/>
          <w:szCs w:val="18"/>
        </w:rPr>
        <w:t>Procedimento penale a carico di Saddik</w:t>
      </w:r>
      <w:r w:rsidRPr="00464DEB">
        <w:rPr>
          <w:szCs w:val="18"/>
        </w:rPr>
        <w:t xml:space="preserve">, punto 13; 16 novembre 2007, C-12/07, </w:t>
      </w:r>
      <w:r w:rsidRPr="00AE6D2D">
        <w:rPr>
          <w:i/>
          <w:szCs w:val="18"/>
        </w:rPr>
        <w:t>Autostrada dei Fiori e AISCAT</w:t>
      </w:r>
      <w:r w:rsidRPr="00464DEB">
        <w:rPr>
          <w:szCs w:val="18"/>
        </w:rPr>
        <w:t>, in cui la declaratoria di irricevibilità viene anche motivata dall’avere il giudice remittente fatto rinvio ad un’altra domanda pregiudiziale dello stesso giudice, non nota alle parti (cfr. punto 24).</w:t>
      </w:r>
    </w:p>
  </w:footnote>
  <w:footnote w:id="113">
    <w:p w14:paraId="0973A551" w14:textId="77777777" w:rsidR="008F0581" w:rsidRPr="008D65FF" w:rsidRDefault="008F0581" w:rsidP="002C4301">
      <w:pPr>
        <w:pStyle w:val="Testonotaapidipagina"/>
        <w:rPr>
          <w:spacing w:val="-1"/>
          <w:szCs w:val="18"/>
        </w:rPr>
      </w:pPr>
      <w:r w:rsidRPr="008D65FF">
        <w:rPr>
          <w:rStyle w:val="Rimandonotaapidipagina"/>
          <w:snapToGrid w:val="0"/>
          <w:spacing w:val="-1"/>
          <w:szCs w:val="18"/>
          <w:u w:color="000000"/>
        </w:rPr>
        <w:footnoteRef/>
      </w:r>
      <w:r w:rsidRPr="008D65FF">
        <w:rPr>
          <w:snapToGrid w:val="0"/>
          <w:spacing w:val="-1"/>
          <w:szCs w:val="18"/>
          <w:u w:color="000000"/>
          <w:vertAlign w:val="superscript"/>
        </w:rPr>
        <w:t> </w:t>
      </w:r>
      <w:r w:rsidRPr="008D65FF">
        <w:rPr>
          <w:spacing w:val="-1"/>
          <w:szCs w:val="18"/>
        </w:rPr>
        <w:t xml:space="preserve">Corte giust., </w:t>
      </w:r>
      <w:r w:rsidRPr="008D65FF">
        <w:rPr>
          <w:i/>
          <w:spacing w:val="-1"/>
          <w:szCs w:val="18"/>
        </w:rPr>
        <w:t>Telemarsicabruzzo SpA e a. c. Circostel e a</w:t>
      </w:r>
      <w:r w:rsidRPr="008D65FF">
        <w:rPr>
          <w:spacing w:val="-1"/>
          <w:szCs w:val="18"/>
        </w:rPr>
        <w:t>, cit.; 13 aprile 2000, C</w:t>
      </w:r>
      <w:r w:rsidRPr="008D65FF">
        <w:rPr>
          <w:spacing w:val="-1"/>
          <w:szCs w:val="18"/>
        </w:rPr>
        <w:noBreakHyphen/>
        <w:t xml:space="preserve">176/96, </w:t>
      </w:r>
      <w:r w:rsidRPr="008D65FF">
        <w:rPr>
          <w:i/>
          <w:spacing w:val="-1"/>
          <w:szCs w:val="18"/>
        </w:rPr>
        <w:t>Lehtonen e Castors Canada Dry Namur Braine ASBL v Fédération royale belge des sociétés de basket-ball ASBL (FRBSB)</w:t>
      </w:r>
      <w:r w:rsidRPr="008D65FF">
        <w:rPr>
          <w:spacing w:val="-1"/>
          <w:szCs w:val="18"/>
        </w:rPr>
        <w:t xml:space="preserve">, punto 22; (ord.), 11 marzo 2008, C-467/06, </w:t>
      </w:r>
      <w:r w:rsidRPr="008D65FF">
        <w:rPr>
          <w:i/>
          <w:spacing w:val="-1"/>
          <w:szCs w:val="18"/>
        </w:rPr>
        <w:t>Consel Gi. Emme Srl</w:t>
      </w:r>
      <w:r w:rsidRPr="008D65FF">
        <w:rPr>
          <w:spacing w:val="-1"/>
          <w:szCs w:val="18"/>
        </w:rPr>
        <w:t>, punto 21.</w:t>
      </w:r>
    </w:p>
  </w:footnote>
  <w:footnote w:id="114">
    <w:p w14:paraId="1FCD3AC4"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Cfr. Corte giust., 11 marzo 1980, 104/79, </w:t>
      </w:r>
      <w:r w:rsidRPr="00AE6D2D">
        <w:rPr>
          <w:i/>
          <w:szCs w:val="18"/>
        </w:rPr>
        <w:t>Foglia c. Novello</w:t>
      </w:r>
      <w:r w:rsidRPr="00464DEB">
        <w:rPr>
          <w:szCs w:val="18"/>
        </w:rPr>
        <w:t xml:space="preserve">; 16 dicembre 1981, 244/80, </w:t>
      </w:r>
      <w:r w:rsidRPr="00AE6D2D">
        <w:rPr>
          <w:i/>
          <w:szCs w:val="18"/>
        </w:rPr>
        <w:t>Foglia c. Novello II</w:t>
      </w:r>
      <w:r w:rsidRPr="00464DEB">
        <w:rPr>
          <w:szCs w:val="18"/>
        </w:rPr>
        <w:t>.</w:t>
      </w:r>
    </w:p>
  </w:footnote>
  <w:footnote w:id="115">
    <w:p w14:paraId="1F542701"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w:t>
      </w:r>
      <w:r w:rsidRPr="00AE6D2D">
        <w:rPr>
          <w:i/>
          <w:szCs w:val="18"/>
        </w:rPr>
        <w:t>Foglia c. Novello</w:t>
      </w:r>
      <w:r w:rsidRPr="00464DEB">
        <w:rPr>
          <w:szCs w:val="18"/>
        </w:rPr>
        <w:t>, cit., punti 9 e 10.</w:t>
      </w:r>
    </w:p>
  </w:footnote>
  <w:footnote w:id="116">
    <w:p w14:paraId="7A6914DF"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w:t>
      </w:r>
      <w:r w:rsidRPr="00AE6D2D">
        <w:rPr>
          <w:i/>
          <w:szCs w:val="18"/>
        </w:rPr>
        <w:t>Foglia c. Novello</w:t>
      </w:r>
      <w:r w:rsidRPr="00464DEB">
        <w:rPr>
          <w:szCs w:val="18"/>
        </w:rPr>
        <w:t>, cit., punto 11.</w:t>
      </w:r>
    </w:p>
  </w:footnote>
  <w:footnote w:id="117">
    <w:p w14:paraId="2C52A21A"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w:t>
      </w:r>
      <w:r w:rsidRPr="00AE6D2D">
        <w:rPr>
          <w:i/>
          <w:szCs w:val="18"/>
        </w:rPr>
        <w:t>Foglia c. Novello II</w:t>
      </w:r>
      <w:r w:rsidRPr="00464DEB">
        <w:rPr>
          <w:szCs w:val="18"/>
        </w:rPr>
        <w:t xml:space="preserve">, cit., punto 30. Questa “cautela”, probabilmente da collegare alla minore ampiezza, nelle cause pregiudiziali, della partecipazione al processo dello Stato della cui legislazione si discute, si rinviene anche nella sentenza 21 gennaio 2003, C-318/00, </w:t>
      </w:r>
      <w:r w:rsidRPr="00AE6D2D">
        <w:rPr>
          <w:i/>
          <w:szCs w:val="18"/>
        </w:rPr>
        <w:t>Bacardi-Martini SAS e Cellier des Dauphins c. Newcastle United Football Company Ltd</w:t>
      </w:r>
      <w:r w:rsidRPr="00464DEB">
        <w:rPr>
          <w:szCs w:val="18"/>
        </w:rPr>
        <w:t>, punto 45.</w:t>
      </w:r>
    </w:p>
  </w:footnote>
  <w:footnote w:id="118">
    <w:p w14:paraId="79219948" w14:textId="77777777" w:rsidR="008F0581" w:rsidRPr="008D65FF" w:rsidRDefault="008F0581" w:rsidP="002C4301">
      <w:pPr>
        <w:pStyle w:val="Testonotaapidipagina"/>
        <w:rPr>
          <w:spacing w:val="-2"/>
          <w:szCs w:val="18"/>
        </w:rPr>
      </w:pPr>
      <w:r w:rsidRPr="008D65FF">
        <w:rPr>
          <w:rStyle w:val="Rimandonotaapidipagina"/>
          <w:snapToGrid w:val="0"/>
          <w:spacing w:val="-2"/>
          <w:szCs w:val="18"/>
          <w:u w:color="000000"/>
        </w:rPr>
        <w:footnoteRef/>
      </w:r>
      <w:r w:rsidRPr="008D65FF">
        <w:rPr>
          <w:snapToGrid w:val="0"/>
          <w:spacing w:val="-2"/>
          <w:szCs w:val="18"/>
          <w:u w:color="000000"/>
          <w:vertAlign w:val="superscript"/>
        </w:rPr>
        <w:t> </w:t>
      </w:r>
      <w:r w:rsidRPr="008D65FF">
        <w:rPr>
          <w:spacing w:val="-2"/>
          <w:szCs w:val="18"/>
        </w:rPr>
        <w:t xml:space="preserve">Cfr., ad esempio, Corte giust., 21 settembre 1988, 267/86, </w:t>
      </w:r>
      <w:r w:rsidRPr="008D65FF">
        <w:rPr>
          <w:i/>
          <w:spacing w:val="-2"/>
          <w:szCs w:val="18"/>
        </w:rPr>
        <w:t>Van Eycke c. ASPA NV</w:t>
      </w:r>
      <w:r w:rsidRPr="008D65FF">
        <w:rPr>
          <w:spacing w:val="-2"/>
          <w:szCs w:val="18"/>
        </w:rPr>
        <w:t>, punto 12.</w:t>
      </w:r>
    </w:p>
  </w:footnote>
  <w:footnote w:id="119">
    <w:p w14:paraId="19025732" w14:textId="77777777" w:rsidR="008F0581" w:rsidRPr="00475BAB" w:rsidRDefault="008F0581" w:rsidP="002C4301">
      <w:pPr>
        <w:pStyle w:val="Testonotaapidipagina"/>
        <w:rPr>
          <w:szCs w:val="18"/>
        </w:rPr>
      </w:pPr>
      <w:r w:rsidRPr="006E1027">
        <w:rPr>
          <w:rStyle w:val="Rimandonotaapidipagina"/>
          <w:snapToGrid w:val="0"/>
          <w:szCs w:val="18"/>
          <w:u w:color="000000"/>
        </w:rPr>
        <w:footnoteRef/>
      </w:r>
      <w:r w:rsidRPr="00475BAB">
        <w:rPr>
          <w:snapToGrid w:val="0"/>
          <w:szCs w:val="18"/>
          <w:u w:color="000000"/>
          <w:vertAlign w:val="superscript"/>
        </w:rPr>
        <w:t> </w:t>
      </w:r>
      <w:r w:rsidRPr="00475BAB">
        <w:rPr>
          <w:szCs w:val="18"/>
        </w:rPr>
        <w:t xml:space="preserve">Corte giust., 9 febbraio 1995, C-412/93, </w:t>
      </w:r>
      <w:r w:rsidRPr="00475BAB">
        <w:rPr>
          <w:i/>
          <w:szCs w:val="18"/>
        </w:rPr>
        <w:t>Société d’Importation Edouard Leclerc-Siplec c. TF1 Publicité SA and M6 Publicité SA</w:t>
      </w:r>
      <w:r w:rsidRPr="00475BAB">
        <w:rPr>
          <w:szCs w:val="18"/>
        </w:rPr>
        <w:t>, punti 14 e 15.</w:t>
      </w:r>
    </w:p>
  </w:footnote>
  <w:footnote w:id="120">
    <w:p w14:paraId="36C701C5" w14:textId="7420664D" w:rsidR="008F0581" w:rsidRPr="00645EC6" w:rsidRDefault="008F0581" w:rsidP="002C4301">
      <w:pPr>
        <w:pStyle w:val="Testonotaapidipagina"/>
        <w:rPr>
          <w:iCs/>
          <w:szCs w:val="18"/>
        </w:rPr>
      </w:pPr>
      <w:r w:rsidRPr="006E1027">
        <w:rPr>
          <w:rStyle w:val="Rimandonotaapidipagina"/>
          <w:szCs w:val="18"/>
        </w:rPr>
        <w:footnoteRef/>
      </w:r>
      <w:r>
        <w:rPr>
          <w:szCs w:val="18"/>
          <w:vertAlign w:val="superscript"/>
        </w:rPr>
        <w:t> </w:t>
      </w:r>
      <w:r w:rsidRPr="00464DEB">
        <w:rPr>
          <w:szCs w:val="18"/>
        </w:rPr>
        <w:t xml:space="preserve">Cfr. </w:t>
      </w:r>
      <w:r w:rsidRPr="00AE6D2D">
        <w:rPr>
          <w:bCs/>
          <w:i/>
          <w:iCs/>
          <w:szCs w:val="18"/>
        </w:rPr>
        <w:t>ex multis</w:t>
      </w:r>
      <w:r w:rsidRPr="00464DEB">
        <w:rPr>
          <w:bCs/>
          <w:szCs w:val="18"/>
        </w:rPr>
        <w:t>, Corte giust. (Grande Sez</w:t>
      </w:r>
      <w:r w:rsidR="0024442F">
        <w:rPr>
          <w:bCs/>
          <w:szCs w:val="18"/>
        </w:rPr>
        <w:t>.</w:t>
      </w:r>
      <w:r w:rsidRPr="00464DEB">
        <w:rPr>
          <w:bCs/>
          <w:szCs w:val="18"/>
        </w:rPr>
        <w:t xml:space="preserve">), 15 novembre 2015, C-268/15, </w:t>
      </w:r>
      <w:r w:rsidRPr="00AE6D2D">
        <w:rPr>
          <w:bCs/>
          <w:i/>
          <w:iCs/>
          <w:szCs w:val="18"/>
        </w:rPr>
        <w:t>Ullens de Schooten</w:t>
      </w:r>
      <w:r w:rsidRPr="00464DEB">
        <w:rPr>
          <w:bCs/>
          <w:szCs w:val="18"/>
        </w:rPr>
        <w:t xml:space="preserve">, punto 47; 20 settembre 2018, causa C-343/17, </w:t>
      </w:r>
      <w:r w:rsidRPr="00AE6D2D">
        <w:rPr>
          <w:bCs/>
          <w:i/>
          <w:iCs/>
          <w:szCs w:val="18"/>
        </w:rPr>
        <w:t>Fremoluc</w:t>
      </w:r>
      <w:r w:rsidRPr="00464DEB">
        <w:rPr>
          <w:bCs/>
          <w:szCs w:val="18"/>
        </w:rPr>
        <w:t>, punto 18.</w:t>
      </w:r>
    </w:p>
  </w:footnote>
  <w:footnote w:id="121">
    <w:p w14:paraId="0B9BA615" w14:textId="77777777" w:rsidR="008F0581" w:rsidRPr="00645EC6" w:rsidRDefault="008F0581" w:rsidP="002C4301">
      <w:pPr>
        <w:pStyle w:val="Testonotaapidipagina"/>
        <w:rPr>
          <w:iCs/>
          <w:szCs w:val="18"/>
        </w:rPr>
      </w:pPr>
      <w:r w:rsidRPr="006E1027">
        <w:rPr>
          <w:rStyle w:val="Rimandonotaapidipagina"/>
          <w:szCs w:val="18"/>
        </w:rPr>
        <w:footnoteRef/>
      </w:r>
      <w:r>
        <w:rPr>
          <w:szCs w:val="18"/>
          <w:vertAlign w:val="superscript"/>
        </w:rPr>
        <w:t> </w:t>
      </w:r>
      <w:r w:rsidRPr="00464DEB">
        <w:rPr>
          <w:szCs w:val="18"/>
        </w:rPr>
        <w:t xml:space="preserve">Corte giust., 18 novembre 1997, C-309/96, </w:t>
      </w:r>
      <w:r w:rsidRPr="00AE6D2D">
        <w:rPr>
          <w:i/>
          <w:iCs/>
          <w:szCs w:val="18"/>
        </w:rPr>
        <w:t>Annibaldi</w:t>
      </w:r>
      <w:r w:rsidRPr="00464DEB">
        <w:rPr>
          <w:szCs w:val="18"/>
        </w:rPr>
        <w:t xml:space="preserve">, punti 21-23; 8 maggio 2013, C-87/12, </w:t>
      </w:r>
      <w:r w:rsidRPr="00AE6D2D">
        <w:rPr>
          <w:i/>
          <w:iCs/>
          <w:szCs w:val="18"/>
        </w:rPr>
        <w:t>Ymeraga e a</w:t>
      </w:r>
      <w:r w:rsidRPr="00464DEB">
        <w:rPr>
          <w:szCs w:val="18"/>
        </w:rPr>
        <w:t>., punto 41.</w:t>
      </w:r>
    </w:p>
  </w:footnote>
  <w:footnote w:id="122">
    <w:p w14:paraId="6D3F19FD" w14:textId="77777777" w:rsidR="008F0581" w:rsidRPr="00645EC6" w:rsidRDefault="008F0581" w:rsidP="002C4301">
      <w:pPr>
        <w:pStyle w:val="Testonotaapidipagina"/>
        <w:rPr>
          <w:iCs/>
          <w:szCs w:val="18"/>
        </w:rPr>
      </w:pPr>
      <w:r w:rsidRPr="006E1027">
        <w:rPr>
          <w:rStyle w:val="Rimandonotaapidipagina"/>
          <w:szCs w:val="18"/>
        </w:rPr>
        <w:footnoteRef/>
      </w:r>
      <w:r>
        <w:rPr>
          <w:szCs w:val="18"/>
          <w:vertAlign w:val="superscript"/>
        </w:rPr>
        <w:t> </w:t>
      </w:r>
      <w:r w:rsidRPr="00464DEB">
        <w:rPr>
          <w:szCs w:val="18"/>
        </w:rPr>
        <w:t xml:space="preserve">Corte giust., 12 novembre 1992, C-73/89, </w:t>
      </w:r>
      <w:r w:rsidRPr="00AE6D2D">
        <w:rPr>
          <w:i/>
          <w:iCs/>
          <w:szCs w:val="18"/>
        </w:rPr>
        <w:t>Fournier</w:t>
      </w:r>
      <w:r w:rsidRPr="00464DEB">
        <w:rPr>
          <w:szCs w:val="18"/>
        </w:rPr>
        <w:t>.</w:t>
      </w:r>
    </w:p>
  </w:footnote>
  <w:footnote w:id="123">
    <w:p w14:paraId="28D4FF1D" w14:textId="77777777" w:rsidR="008F0581" w:rsidRPr="00645EC6" w:rsidRDefault="008F0581" w:rsidP="002C4301">
      <w:pPr>
        <w:pStyle w:val="Testonotaapidipagina"/>
        <w:rPr>
          <w:iCs/>
          <w:szCs w:val="18"/>
        </w:rPr>
      </w:pPr>
      <w:r w:rsidRPr="006E1027">
        <w:rPr>
          <w:rStyle w:val="Rimandonotaapidipagina"/>
          <w:szCs w:val="18"/>
        </w:rPr>
        <w:footnoteRef/>
      </w:r>
      <w:r>
        <w:rPr>
          <w:szCs w:val="18"/>
          <w:vertAlign w:val="superscript"/>
        </w:rPr>
        <w:t> </w:t>
      </w:r>
      <w:r w:rsidRPr="00464DEB">
        <w:rPr>
          <w:szCs w:val="18"/>
        </w:rPr>
        <w:t xml:space="preserve">Corte giust., 18 ottobre 1990, C– 297/88 e C-197/89, </w:t>
      </w:r>
      <w:r w:rsidRPr="00AE6D2D">
        <w:rPr>
          <w:i/>
          <w:szCs w:val="18"/>
        </w:rPr>
        <w:t>Dzodzi</w:t>
      </w:r>
      <w:r w:rsidRPr="00464DEB">
        <w:rPr>
          <w:szCs w:val="18"/>
        </w:rPr>
        <w:t xml:space="preserve">; 29 ottobre 2020, C-482/19, </w:t>
      </w:r>
      <w:r w:rsidRPr="00AE6D2D">
        <w:rPr>
          <w:i/>
          <w:szCs w:val="18"/>
        </w:rPr>
        <w:t>Cicala</w:t>
      </w:r>
      <w:r w:rsidRPr="00464DEB">
        <w:rPr>
          <w:szCs w:val="18"/>
        </w:rPr>
        <w:t>.</w:t>
      </w:r>
    </w:p>
  </w:footnote>
  <w:footnote w:id="124">
    <w:p w14:paraId="0E4BCD49" w14:textId="04A10203" w:rsidR="008F0581" w:rsidRPr="00AE6D2D" w:rsidRDefault="008F0581" w:rsidP="002C4301">
      <w:pPr>
        <w:pStyle w:val="Testonotaapidipagina"/>
        <w:rPr>
          <w:i/>
          <w:szCs w:val="18"/>
        </w:rPr>
      </w:pPr>
      <w:r w:rsidRPr="006E1027">
        <w:rPr>
          <w:rStyle w:val="Rimandonotaapidipagina"/>
          <w:szCs w:val="18"/>
        </w:rPr>
        <w:footnoteRef/>
      </w:r>
      <w:r>
        <w:rPr>
          <w:szCs w:val="18"/>
          <w:vertAlign w:val="superscript"/>
        </w:rPr>
        <w:t> </w:t>
      </w:r>
      <w:r w:rsidRPr="00464DEB">
        <w:rPr>
          <w:bCs/>
          <w:szCs w:val="18"/>
        </w:rPr>
        <w:t>Corte giust. (Grande Sez</w:t>
      </w:r>
      <w:r w:rsidR="0024442F">
        <w:rPr>
          <w:bCs/>
          <w:szCs w:val="18"/>
        </w:rPr>
        <w:t>.</w:t>
      </w:r>
      <w:r w:rsidRPr="00464DEB">
        <w:rPr>
          <w:bCs/>
          <w:szCs w:val="18"/>
        </w:rPr>
        <w:t>), 11 dicembre 2007, C-280/06</w:t>
      </w:r>
      <w:r w:rsidRPr="00AE6D2D">
        <w:rPr>
          <w:bCs/>
          <w:i/>
          <w:iCs/>
          <w:szCs w:val="18"/>
        </w:rPr>
        <w:t xml:space="preserve"> AGCM c. ETI</w:t>
      </w:r>
      <w:r w:rsidRPr="00464DEB">
        <w:rPr>
          <w:bCs/>
          <w:szCs w:val="18"/>
        </w:rPr>
        <w:t>.</w:t>
      </w:r>
    </w:p>
  </w:footnote>
  <w:footnote w:id="125">
    <w:p w14:paraId="0D0F2384" w14:textId="77777777" w:rsidR="008F0581" w:rsidRPr="00AE6D2D" w:rsidRDefault="008F0581" w:rsidP="002C4301">
      <w:pPr>
        <w:pStyle w:val="Testonotaapidipagina"/>
        <w:rPr>
          <w:i/>
          <w:szCs w:val="18"/>
        </w:rPr>
      </w:pPr>
      <w:r w:rsidRPr="006E1027">
        <w:rPr>
          <w:rStyle w:val="Rimandonotaapidipagina"/>
          <w:szCs w:val="18"/>
        </w:rPr>
        <w:footnoteRef/>
      </w:r>
      <w:r>
        <w:rPr>
          <w:szCs w:val="18"/>
          <w:vertAlign w:val="superscript"/>
        </w:rPr>
        <w:t> </w:t>
      </w:r>
      <w:r w:rsidRPr="00464DEB">
        <w:rPr>
          <w:bCs/>
          <w:szCs w:val="18"/>
        </w:rPr>
        <w:t xml:space="preserve">Corte giust., 5 dicembre 2000, C-448/98, </w:t>
      </w:r>
      <w:r w:rsidRPr="00AE6D2D">
        <w:rPr>
          <w:bCs/>
          <w:i/>
          <w:iCs/>
          <w:szCs w:val="18"/>
        </w:rPr>
        <w:t>Guimont</w:t>
      </w:r>
      <w:r w:rsidRPr="00464DEB">
        <w:rPr>
          <w:bCs/>
          <w:szCs w:val="18"/>
        </w:rPr>
        <w:t>.</w:t>
      </w:r>
    </w:p>
  </w:footnote>
  <w:footnote w:id="126">
    <w:p w14:paraId="18D2490F" w14:textId="77777777" w:rsidR="008F0581" w:rsidRPr="00AE6D2D" w:rsidRDefault="008F0581" w:rsidP="002C4301">
      <w:pPr>
        <w:pStyle w:val="Testonotaapidipagina"/>
        <w:rPr>
          <w:i/>
          <w:szCs w:val="18"/>
        </w:rPr>
      </w:pPr>
      <w:r w:rsidRPr="006E1027">
        <w:rPr>
          <w:rStyle w:val="Rimandonotaapidipagina"/>
          <w:szCs w:val="18"/>
        </w:rPr>
        <w:footnoteRef/>
      </w:r>
      <w:r>
        <w:rPr>
          <w:szCs w:val="18"/>
          <w:vertAlign w:val="superscript"/>
        </w:rPr>
        <w:t> </w:t>
      </w:r>
      <w:r w:rsidRPr="00464DEB">
        <w:rPr>
          <w:bCs/>
          <w:szCs w:val="18"/>
        </w:rPr>
        <w:t xml:space="preserve">Corte giust., 5 dicembre 2013, C-159/12, C-160/12 e C-161/12, </w:t>
      </w:r>
      <w:r w:rsidRPr="00AE6D2D">
        <w:rPr>
          <w:bCs/>
          <w:i/>
          <w:iCs/>
          <w:szCs w:val="18"/>
        </w:rPr>
        <w:t>Venturini</w:t>
      </w:r>
      <w:r w:rsidRPr="00464DEB">
        <w:rPr>
          <w:bCs/>
          <w:szCs w:val="18"/>
        </w:rPr>
        <w:t>.</w:t>
      </w:r>
    </w:p>
  </w:footnote>
  <w:footnote w:id="127">
    <w:p w14:paraId="56499093"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bCs/>
          <w:szCs w:val="18"/>
        </w:rPr>
        <w:t xml:space="preserve">Corte giust., 8 maggio 2013, C-197/11 e C-203/11, </w:t>
      </w:r>
      <w:r w:rsidRPr="00AE6D2D">
        <w:rPr>
          <w:bCs/>
          <w:i/>
          <w:iCs/>
          <w:szCs w:val="18"/>
        </w:rPr>
        <w:t>Libert</w:t>
      </w:r>
      <w:r w:rsidRPr="00464DEB">
        <w:rPr>
          <w:bCs/>
          <w:szCs w:val="18"/>
        </w:rPr>
        <w:t>.</w:t>
      </w:r>
    </w:p>
  </w:footnote>
  <w:footnote w:id="128">
    <w:p w14:paraId="5F3C4638" w14:textId="4C55FB80"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005C5932">
        <w:rPr>
          <w:szCs w:val="18"/>
        </w:rPr>
        <w:t>I</w:t>
      </w:r>
      <w:r w:rsidR="005C5932" w:rsidRPr="00464DEB">
        <w:rPr>
          <w:szCs w:val="18"/>
        </w:rPr>
        <w:t xml:space="preserve">n </w:t>
      </w:r>
      <w:r w:rsidR="005C5932" w:rsidRPr="00853B2F">
        <w:rPr>
          <w:i/>
          <w:szCs w:val="18"/>
        </w:rPr>
        <w:t>GUUE</w:t>
      </w:r>
      <w:r w:rsidR="00937DC6">
        <w:rPr>
          <w:i/>
          <w:szCs w:val="18"/>
        </w:rPr>
        <w:t>,</w:t>
      </w:r>
      <w:r w:rsidR="005C5932" w:rsidRPr="00464DEB">
        <w:rPr>
          <w:szCs w:val="18"/>
        </w:rPr>
        <w:t xml:space="preserve"> </w:t>
      </w:r>
      <w:r w:rsidR="00937DC6">
        <w:rPr>
          <w:szCs w:val="18"/>
        </w:rPr>
        <w:t xml:space="preserve">serie C </w:t>
      </w:r>
      <w:r w:rsidR="005C5932" w:rsidRPr="00464DEB">
        <w:rPr>
          <w:szCs w:val="18"/>
        </w:rPr>
        <w:t>del</w:t>
      </w:r>
      <w:r w:rsidR="005C5932">
        <w:rPr>
          <w:szCs w:val="18"/>
        </w:rPr>
        <w:t xml:space="preserve"> 9 ottobre 2024. </w:t>
      </w:r>
    </w:p>
  </w:footnote>
  <w:footnote w:id="129">
    <w:p w14:paraId="265EC4FC" w14:textId="1896131B" w:rsidR="005C5932" w:rsidRDefault="005C5932">
      <w:pPr>
        <w:pStyle w:val="Testonotaapidipagina"/>
      </w:pPr>
      <w:r>
        <w:rPr>
          <w:rStyle w:val="Rimandonotaapidipagina"/>
        </w:rPr>
        <w:footnoteRef/>
      </w:r>
      <w:r w:rsidR="000D3AEA" w:rsidRPr="000D3AEA">
        <w:rPr>
          <w:vertAlign w:val="superscript"/>
        </w:rPr>
        <w:t> </w:t>
      </w:r>
      <w:r w:rsidRPr="005C5932">
        <w:t>In particolare, la decisione di rinvio deve contenere: «un’illustrazione sommaria dell’og</w:t>
      </w:r>
      <w:r w:rsidR="000D3AEA">
        <w:softHyphen/>
      </w:r>
      <w:r w:rsidRPr="005C5932">
        <w:t>get</w:t>
      </w:r>
      <w:r w:rsidR="000D3AEA">
        <w:softHyphen/>
      </w:r>
      <w:r w:rsidRPr="005C5932">
        <w:t>to della controversia di cui al procedimento principale nonché dei fatti rilevanti, quali accertati dal giudice del rinvio o, quanto meno, un’illustrazione delle circostanze di fatto sulle quali si basano le questioni pregiudiziali; il contenuto delle norme nazionali applicabili alla fattispecie e, se del caso, la giurisprudenza nazionale in materia, nonché l’illustrazione dei motivi che hanno indotto il giudice del rinvio a interrogarsi sull’interpretazione o sulla validità di determinate disposizioni del diritto dell’Unione, nonché il collegamento che esso stabilisce tra dette disposizioni e la normativa nazionale applicabile al procedimento principale»</w:t>
      </w:r>
      <w:r>
        <w:t xml:space="preserve"> (punto 15).</w:t>
      </w:r>
    </w:p>
  </w:footnote>
  <w:footnote w:id="130">
    <w:p w14:paraId="1CB7CDF1" w14:textId="153BB96B"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Cfr. ad es. Corte giust. (Grande Sez</w:t>
      </w:r>
      <w:r w:rsidR="0024442F">
        <w:rPr>
          <w:szCs w:val="18"/>
        </w:rPr>
        <w:t>.</w:t>
      </w:r>
      <w:r w:rsidRPr="00464DEB">
        <w:rPr>
          <w:szCs w:val="18"/>
        </w:rPr>
        <w:t xml:space="preserve">), </w:t>
      </w:r>
      <w:r w:rsidRPr="00AE6D2D">
        <w:rPr>
          <w:i/>
          <w:szCs w:val="18"/>
        </w:rPr>
        <w:t>Lin</w:t>
      </w:r>
      <w:r w:rsidRPr="00464DEB">
        <w:rPr>
          <w:szCs w:val="18"/>
        </w:rPr>
        <w:t>, cit., punto 54.</w:t>
      </w:r>
    </w:p>
  </w:footnote>
  <w:footnote w:id="131">
    <w:p w14:paraId="6EF403A2" w14:textId="42AC60F2" w:rsidR="005C5932" w:rsidRDefault="005C5932">
      <w:pPr>
        <w:pStyle w:val="Testonotaapidipagina"/>
      </w:pPr>
      <w:r>
        <w:rPr>
          <w:rStyle w:val="Rimandonotaapidipagina"/>
        </w:rPr>
        <w:footnoteRef/>
      </w:r>
      <w:r>
        <w:t xml:space="preserve"> Corte giust. (Grande Sez</w:t>
      </w:r>
      <w:r w:rsidR="0024442F">
        <w:t>.</w:t>
      </w:r>
      <w:r>
        <w:t xml:space="preserve">), 10 settembre 2024, C-351/22, </w:t>
      </w:r>
      <w:r w:rsidRPr="007B7251">
        <w:rPr>
          <w:i/>
        </w:rPr>
        <w:t>Neves 77 Solution</w:t>
      </w:r>
      <w:r>
        <w:t>.</w:t>
      </w:r>
    </w:p>
  </w:footnote>
  <w:footnote w:id="132">
    <w:p w14:paraId="223C4135"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24 ottobre 1973, 9/73, </w:t>
      </w:r>
      <w:r w:rsidRPr="00AE6D2D">
        <w:rPr>
          <w:i/>
          <w:szCs w:val="18"/>
        </w:rPr>
        <w:t>Schlute,</w:t>
      </w:r>
      <w:r w:rsidRPr="00464DEB">
        <w:rPr>
          <w:szCs w:val="18"/>
        </w:rPr>
        <w:t xml:space="preserve"> a proposito di una risoluzione del Consiglio.</w:t>
      </w:r>
    </w:p>
  </w:footnote>
  <w:footnote w:id="133">
    <w:p w14:paraId="7C9E62B2"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Con riguardo a una raccomandazione della Commissione: 18 giugno 1976, 113/75, </w:t>
      </w:r>
      <w:r w:rsidRPr="00AE6D2D">
        <w:rPr>
          <w:i/>
          <w:iCs/>
          <w:szCs w:val="18"/>
        </w:rPr>
        <w:t>Frecassetti</w:t>
      </w:r>
      <w:r w:rsidRPr="00464DEB">
        <w:rPr>
          <w:szCs w:val="18"/>
        </w:rPr>
        <w:t xml:space="preserve">; 13 dicembre 1989, C-322/88, </w:t>
      </w:r>
      <w:r w:rsidRPr="00AE6D2D">
        <w:rPr>
          <w:i/>
          <w:iCs/>
          <w:szCs w:val="18"/>
        </w:rPr>
        <w:t>Grimaldi</w:t>
      </w:r>
      <w:r w:rsidRPr="00464DEB">
        <w:rPr>
          <w:szCs w:val="18"/>
        </w:rPr>
        <w:t xml:space="preserve">; 21 gennaio 1993, C-188/91, </w:t>
      </w:r>
      <w:r w:rsidRPr="00AE6D2D">
        <w:rPr>
          <w:i/>
          <w:iCs/>
          <w:szCs w:val="18"/>
        </w:rPr>
        <w:t>Deutsche Shell</w:t>
      </w:r>
      <w:r w:rsidRPr="00464DEB">
        <w:rPr>
          <w:szCs w:val="18"/>
        </w:rPr>
        <w:t xml:space="preserve">; con riguardo a un parere: 27 maggio 1981, 142-143/80, </w:t>
      </w:r>
      <w:r w:rsidRPr="00AE6D2D">
        <w:rPr>
          <w:i/>
          <w:iCs/>
          <w:szCs w:val="18"/>
        </w:rPr>
        <w:t>Essevi e Salengo</w:t>
      </w:r>
      <w:r>
        <w:rPr>
          <w:szCs w:val="18"/>
        </w:rPr>
        <w:t>.</w:t>
      </w:r>
    </w:p>
  </w:footnote>
  <w:footnote w:id="134">
    <w:p w14:paraId="633D3BB3"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10 dicembre 2002, C-491/01, </w:t>
      </w:r>
      <w:r w:rsidRPr="00AE6D2D">
        <w:rPr>
          <w:i/>
          <w:iCs/>
          <w:szCs w:val="18"/>
        </w:rPr>
        <w:t>British American Tobacco</w:t>
      </w:r>
      <w:r w:rsidRPr="00464DEB">
        <w:rPr>
          <w:szCs w:val="18"/>
        </w:rPr>
        <w:t>, punto 37.</w:t>
      </w:r>
    </w:p>
  </w:footnote>
  <w:footnote w:id="135">
    <w:p w14:paraId="3F2837BD"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V. da ultimo Corte giust., 21 marzo 2024, C-10/22, </w:t>
      </w:r>
      <w:r w:rsidRPr="00AE6D2D">
        <w:rPr>
          <w:i/>
          <w:szCs w:val="18"/>
        </w:rPr>
        <w:t>LEA</w:t>
      </w:r>
      <w:r w:rsidRPr="00464DEB">
        <w:rPr>
          <w:szCs w:val="18"/>
        </w:rPr>
        <w:t>, punti 75 ss.</w:t>
      </w:r>
    </w:p>
  </w:footnote>
  <w:footnote w:id="136">
    <w:p w14:paraId="04EF3537" w14:textId="70C53F8A"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16 dicembre 2008, C-213/07; si vedano anche, a proposito del principio di non discriminazione in base all’eta, Corte giust. (Grande Sez</w:t>
      </w:r>
      <w:r w:rsidR="0024442F">
        <w:rPr>
          <w:szCs w:val="18"/>
        </w:rPr>
        <w:t>.</w:t>
      </w:r>
      <w:r w:rsidRPr="00464DEB">
        <w:rPr>
          <w:szCs w:val="18"/>
        </w:rPr>
        <w:t xml:space="preserve">), </w:t>
      </w:r>
      <w:r w:rsidRPr="00AE6D2D">
        <w:rPr>
          <w:i/>
          <w:iCs/>
          <w:szCs w:val="18"/>
        </w:rPr>
        <w:t>Mangold</w:t>
      </w:r>
      <w:r w:rsidRPr="00464DEB">
        <w:rPr>
          <w:szCs w:val="18"/>
        </w:rPr>
        <w:t xml:space="preserve">, cit.; 19 gennaio 2010, C-55/07, </w:t>
      </w:r>
      <w:r w:rsidRPr="00AE6D2D">
        <w:rPr>
          <w:i/>
          <w:iCs/>
          <w:szCs w:val="18"/>
        </w:rPr>
        <w:t>Kucukdeveci</w:t>
      </w:r>
      <w:r w:rsidRPr="00464DEB">
        <w:rPr>
          <w:szCs w:val="18"/>
        </w:rPr>
        <w:t xml:space="preserve">; 12 novembre 2010, C-250/09 e 268/09, </w:t>
      </w:r>
      <w:r w:rsidRPr="00AE6D2D">
        <w:rPr>
          <w:i/>
          <w:iCs/>
          <w:szCs w:val="18"/>
        </w:rPr>
        <w:t>Georgiev</w:t>
      </w:r>
      <w:r w:rsidRPr="00464DEB">
        <w:rPr>
          <w:szCs w:val="18"/>
        </w:rPr>
        <w:t>.</w:t>
      </w:r>
    </w:p>
  </w:footnote>
  <w:footnote w:id="137">
    <w:p w14:paraId="67D93381" w14:textId="18593CCC"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16 marzo 1978, 135/77, </w:t>
      </w:r>
      <w:r w:rsidRPr="00AE6D2D">
        <w:rPr>
          <w:i/>
          <w:iCs/>
          <w:szCs w:val="18"/>
        </w:rPr>
        <w:t>Bosch</w:t>
      </w:r>
      <w:r w:rsidRPr="00464DEB">
        <w:rPr>
          <w:szCs w:val="18"/>
        </w:rPr>
        <w:t>; 14 dicembre 1982, 314-316/81,</w:t>
      </w:r>
      <w:r w:rsidR="007574F4">
        <w:rPr>
          <w:szCs w:val="18"/>
        </w:rPr>
        <w:t xml:space="preserve"> </w:t>
      </w:r>
      <w:r w:rsidRPr="00AE6D2D">
        <w:rPr>
          <w:i/>
          <w:iCs/>
          <w:szCs w:val="18"/>
        </w:rPr>
        <w:t>Waterkeyn</w:t>
      </w:r>
      <w:r w:rsidRPr="00464DEB">
        <w:rPr>
          <w:szCs w:val="18"/>
        </w:rPr>
        <w:t>; (Grande Sez</w:t>
      </w:r>
      <w:r w:rsidR="0024442F">
        <w:rPr>
          <w:szCs w:val="18"/>
        </w:rPr>
        <w:t>.</w:t>
      </w:r>
      <w:r w:rsidRPr="00464DEB">
        <w:rPr>
          <w:szCs w:val="18"/>
        </w:rPr>
        <w:t xml:space="preserve">), 13 febbraio 2008, C-2/06, </w:t>
      </w:r>
      <w:r w:rsidRPr="00AE6D2D">
        <w:rPr>
          <w:i/>
          <w:iCs/>
          <w:szCs w:val="18"/>
        </w:rPr>
        <w:t>Kempter</w:t>
      </w:r>
      <w:r w:rsidRPr="00464DEB">
        <w:rPr>
          <w:szCs w:val="18"/>
        </w:rPr>
        <w:t xml:space="preserve">; 5 dicembre 2017, C-42/17, </w:t>
      </w:r>
      <w:r w:rsidRPr="00AE6D2D">
        <w:rPr>
          <w:i/>
          <w:iCs/>
          <w:szCs w:val="18"/>
        </w:rPr>
        <w:t>M.B. e M.A.S.</w:t>
      </w:r>
    </w:p>
  </w:footnote>
  <w:footnote w:id="138">
    <w:p w14:paraId="1299C25E"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20 settembre 1990, C-192/89, </w:t>
      </w:r>
      <w:r w:rsidRPr="00AE6D2D">
        <w:rPr>
          <w:i/>
          <w:iCs/>
          <w:szCs w:val="18"/>
        </w:rPr>
        <w:t>Sevince</w:t>
      </w:r>
      <w:r>
        <w:rPr>
          <w:szCs w:val="18"/>
        </w:rPr>
        <w:t>.</w:t>
      </w:r>
    </w:p>
  </w:footnote>
  <w:footnote w:id="139">
    <w:p w14:paraId="2FC25635"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5 febbraio 1976, 87/75, </w:t>
      </w:r>
      <w:r w:rsidRPr="00AE6D2D">
        <w:rPr>
          <w:i/>
          <w:iCs/>
          <w:szCs w:val="18"/>
        </w:rPr>
        <w:t>Bresciani</w:t>
      </w:r>
      <w:r w:rsidRPr="00464DEB">
        <w:rPr>
          <w:szCs w:val="18"/>
        </w:rPr>
        <w:t xml:space="preserve">; 30 settembre 1987, 12/86, </w:t>
      </w:r>
      <w:r w:rsidRPr="00AE6D2D">
        <w:rPr>
          <w:i/>
          <w:iCs/>
          <w:szCs w:val="18"/>
        </w:rPr>
        <w:t>Demire</w:t>
      </w:r>
      <w:r w:rsidRPr="00464DEB">
        <w:rPr>
          <w:szCs w:val="18"/>
        </w:rPr>
        <w:t xml:space="preserve">l; 14 dicembre 2000, C-300 e C-392/98, </w:t>
      </w:r>
      <w:r w:rsidRPr="00AE6D2D">
        <w:rPr>
          <w:i/>
          <w:iCs/>
          <w:szCs w:val="18"/>
        </w:rPr>
        <w:t>Christian Dior</w:t>
      </w:r>
      <w:r w:rsidRPr="00464DEB">
        <w:rPr>
          <w:szCs w:val="18"/>
        </w:rPr>
        <w:t>.</w:t>
      </w:r>
    </w:p>
  </w:footnote>
  <w:footnote w:id="140">
    <w:p w14:paraId="4D7202B9"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16 giugno 1998, C-53/96, </w:t>
      </w:r>
      <w:r w:rsidRPr="00AE6D2D">
        <w:rPr>
          <w:i/>
          <w:szCs w:val="18"/>
        </w:rPr>
        <w:t>Hermès International (società in accomandita per azioni)</w:t>
      </w:r>
      <w:r w:rsidRPr="00464DEB">
        <w:rPr>
          <w:szCs w:val="18"/>
        </w:rPr>
        <w:t>.</w:t>
      </w:r>
    </w:p>
  </w:footnote>
  <w:footnote w:id="141">
    <w:p w14:paraId="29DF5A63"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iCs/>
          <w:szCs w:val="18"/>
        </w:rPr>
        <w:t>Christian Dior</w:t>
      </w:r>
      <w:r w:rsidRPr="00464DEB">
        <w:rPr>
          <w:szCs w:val="18"/>
        </w:rPr>
        <w:t>, cit.</w:t>
      </w:r>
    </w:p>
  </w:footnote>
  <w:footnote w:id="142">
    <w:p w14:paraId="789B4002"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In particolare, si pensi al GATT: 12 dicembre 1972, 21-24/72, </w:t>
      </w:r>
      <w:r w:rsidRPr="00AE6D2D">
        <w:rPr>
          <w:i/>
          <w:iCs/>
          <w:szCs w:val="18"/>
        </w:rPr>
        <w:t>International Fruit</w:t>
      </w:r>
      <w:r w:rsidRPr="00464DEB">
        <w:rPr>
          <w:szCs w:val="18"/>
        </w:rPr>
        <w:t>.</w:t>
      </w:r>
    </w:p>
  </w:footnote>
  <w:footnote w:id="143">
    <w:p w14:paraId="76F387D5"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27 novembre 1973, 130/73,</w:t>
      </w:r>
      <w:r w:rsidRPr="00AE6D2D">
        <w:rPr>
          <w:i/>
          <w:iCs/>
          <w:szCs w:val="18"/>
        </w:rPr>
        <w:t>Vandeweghe</w:t>
      </w:r>
      <w:r w:rsidRPr="00464DEB">
        <w:rPr>
          <w:szCs w:val="18"/>
        </w:rPr>
        <w:t>.</w:t>
      </w:r>
    </w:p>
  </w:footnote>
  <w:footnote w:id="144">
    <w:p w14:paraId="77AEE10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Per un esempio recente v. Corte giust., 21 dicembre 2023, C-66/22, </w:t>
      </w:r>
      <w:r w:rsidRPr="00AE6D2D">
        <w:rPr>
          <w:i/>
          <w:szCs w:val="18"/>
        </w:rPr>
        <w:t>Infraestruturas de Portugal</w:t>
      </w:r>
      <w:r w:rsidRPr="00464DEB">
        <w:rPr>
          <w:szCs w:val="18"/>
        </w:rPr>
        <w:t>, punti 48 ss.</w:t>
      </w:r>
    </w:p>
  </w:footnote>
  <w:footnote w:id="145">
    <w:p w14:paraId="0AFAA92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27 marzo 1963, 28-30/62, </w:t>
      </w:r>
      <w:r w:rsidRPr="00AE6D2D">
        <w:rPr>
          <w:i/>
          <w:iCs/>
          <w:szCs w:val="18"/>
        </w:rPr>
        <w:t>Da Costa</w:t>
      </w:r>
      <w:r w:rsidRPr="00464DEB">
        <w:rPr>
          <w:szCs w:val="18"/>
        </w:rPr>
        <w:t>; 3 febbraio 1977, 52/76,</w:t>
      </w:r>
      <w:r w:rsidRPr="00AE6D2D">
        <w:rPr>
          <w:i/>
          <w:iCs/>
          <w:szCs w:val="18"/>
        </w:rPr>
        <w:t xml:space="preserve"> Benedetti</w:t>
      </w:r>
      <w:r w:rsidRPr="00464DEB">
        <w:rPr>
          <w:szCs w:val="18"/>
        </w:rPr>
        <w:t>.</w:t>
      </w:r>
    </w:p>
  </w:footnote>
  <w:footnote w:id="146">
    <w:p w14:paraId="4D36E84C"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2 aprile 2009, C-260/07,</w:t>
      </w:r>
      <w:r w:rsidRPr="00AE6D2D">
        <w:rPr>
          <w:i/>
          <w:iCs/>
          <w:szCs w:val="18"/>
        </w:rPr>
        <w:t xml:space="preserve"> Pedro IV Servicios SL</w:t>
      </w:r>
      <w:r w:rsidRPr="00464DEB">
        <w:rPr>
          <w:szCs w:val="18"/>
        </w:rPr>
        <w:t>.</w:t>
      </w:r>
    </w:p>
  </w:footnote>
  <w:footnote w:id="147">
    <w:p w14:paraId="4E7A83E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(ord.), 5 marzo 1986, 69/85,</w:t>
      </w:r>
      <w:r w:rsidRPr="00AE6D2D">
        <w:rPr>
          <w:i/>
          <w:iCs/>
          <w:szCs w:val="18"/>
        </w:rPr>
        <w:t xml:space="preserve"> Wunsche</w:t>
      </w:r>
      <w:r w:rsidRPr="00464DEB">
        <w:rPr>
          <w:szCs w:val="18"/>
        </w:rPr>
        <w:t>;</w:t>
      </w:r>
      <w:r w:rsidRPr="00AE6D2D">
        <w:rPr>
          <w:i/>
          <w:iCs/>
          <w:szCs w:val="18"/>
        </w:rPr>
        <w:t xml:space="preserve"> Pretore di Salò, </w:t>
      </w:r>
      <w:r w:rsidRPr="008D65FF">
        <w:rPr>
          <w:iCs/>
          <w:szCs w:val="18"/>
        </w:rPr>
        <w:t>cit</w:t>
      </w:r>
      <w:r w:rsidRPr="00464DEB">
        <w:rPr>
          <w:szCs w:val="18"/>
        </w:rPr>
        <w:t>.</w:t>
      </w:r>
    </w:p>
  </w:footnote>
  <w:footnote w:id="148">
    <w:p w14:paraId="4D22012A" w14:textId="299DB75B" w:rsidR="00C15CAA" w:rsidRDefault="00C15CAA">
      <w:pPr>
        <w:pStyle w:val="Testonotaapidipagina"/>
      </w:pPr>
      <w:r>
        <w:rPr>
          <w:rStyle w:val="Rimandonotaapidipagina"/>
        </w:rPr>
        <w:footnoteRef/>
      </w:r>
      <w:r w:rsidR="007574F4">
        <w:t> </w:t>
      </w:r>
      <w:r>
        <w:t>Corte giust. (Grande Sez</w:t>
      </w:r>
      <w:r w:rsidR="0024442F">
        <w:t>.</w:t>
      </w:r>
      <w:r>
        <w:t>), 22 febbraio 2022, C-430/11</w:t>
      </w:r>
      <w:r w:rsidRPr="007B7251">
        <w:rPr>
          <w:i/>
        </w:rPr>
        <w:t xml:space="preserve">, RS (Efficacia delle sentenze di una Corte </w:t>
      </w:r>
      <w:r w:rsidRPr="00C15CAA">
        <w:rPr>
          <w:i/>
        </w:rPr>
        <w:t>costituzionale</w:t>
      </w:r>
      <w:r>
        <w:t xml:space="preserve">), punto 75 e ss.; 26 settembre 2024, C-792/22, </w:t>
      </w:r>
      <w:r w:rsidRPr="007B7251">
        <w:rPr>
          <w:i/>
        </w:rPr>
        <w:t>MG</w:t>
      </w:r>
      <w:r>
        <w:t>, punti 60 e ss.</w:t>
      </w:r>
    </w:p>
  </w:footnote>
  <w:footnote w:id="149">
    <w:p w14:paraId="2C938B77"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iCs/>
          <w:szCs w:val="18"/>
        </w:rPr>
        <w:t>Da Costa</w:t>
      </w:r>
      <w:r w:rsidRPr="00464DEB">
        <w:rPr>
          <w:szCs w:val="18"/>
        </w:rPr>
        <w:t>, cit.</w:t>
      </w:r>
    </w:p>
  </w:footnote>
  <w:footnote w:id="150">
    <w:p w14:paraId="22BADBD6"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cost., 23 aprile 1985, n. 113; 11 luglio 1989, n. 389; (ord.), 23 giugno 1999, n. 255.</w:t>
      </w:r>
    </w:p>
  </w:footnote>
  <w:footnote w:id="151">
    <w:p w14:paraId="7590776E"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27 marzo 1980, 61/79, </w:t>
      </w:r>
      <w:r w:rsidRPr="00AE6D2D">
        <w:rPr>
          <w:i/>
          <w:iCs/>
          <w:szCs w:val="18"/>
        </w:rPr>
        <w:t>Denkavit</w:t>
      </w:r>
      <w:r w:rsidRPr="00464DEB">
        <w:rPr>
          <w:szCs w:val="18"/>
        </w:rPr>
        <w:t xml:space="preserve">; 19 ottobre 1995, C-137/94, </w:t>
      </w:r>
      <w:r w:rsidRPr="00AE6D2D">
        <w:rPr>
          <w:i/>
          <w:iCs/>
          <w:szCs w:val="18"/>
        </w:rPr>
        <w:t>Richardson</w:t>
      </w:r>
      <w:r w:rsidRPr="00464DEB">
        <w:rPr>
          <w:szCs w:val="18"/>
        </w:rPr>
        <w:t>.</w:t>
      </w:r>
    </w:p>
  </w:footnote>
  <w:footnote w:id="152">
    <w:p w14:paraId="4242BD3C"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iCs/>
          <w:szCs w:val="18"/>
        </w:rPr>
        <w:t>Denkavit</w:t>
      </w:r>
      <w:r w:rsidRPr="00464DEB">
        <w:rPr>
          <w:szCs w:val="18"/>
        </w:rPr>
        <w:t xml:space="preserve">, cit.; 27 marzo 1980, 66, 127-128/79, </w:t>
      </w:r>
      <w:r w:rsidRPr="00AE6D2D">
        <w:rPr>
          <w:i/>
          <w:iCs/>
          <w:szCs w:val="18"/>
        </w:rPr>
        <w:t>Salumi</w:t>
      </w:r>
      <w:r w:rsidRPr="00464DEB">
        <w:rPr>
          <w:szCs w:val="18"/>
        </w:rPr>
        <w:t xml:space="preserve">; 27 marzo 1981, 142 e 143/80, </w:t>
      </w:r>
      <w:r w:rsidRPr="00AE6D2D">
        <w:rPr>
          <w:i/>
          <w:iCs/>
          <w:szCs w:val="18"/>
        </w:rPr>
        <w:t>Essevi e Salengo</w:t>
      </w:r>
      <w:r w:rsidRPr="00464DEB">
        <w:rPr>
          <w:szCs w:val="18"/>
        </w:rPr>
        <w:t>; 4 maggio 1999, C-262/96,</w:t>
      </w:r>
      <w:r w:rsidRPr="00AE6D2D">
        <w:rPr>
          <w:i/>
          <w:iCs/>
          <w:szCs w:val="18"/>
        </w:rPr>
        <w:t xml:space="preserve"> Sürül</w:t>
      </w:r>
      <w:r w:rsidRPr="00464DEB">
        <w:rPr>
          <w:szCs w:val="18"/>
        </w:rPr>
        <w:t>;</w:t>
      </w:r>
      <w:r w:rsidRPr="00AE6D2D">
        <w:rPr>
          <w:i/>
          <w:iCs/>
          <w:szCs w:val="18"/>
        </w:rPr>
        <w:t xml:space="preserve"> Kempter, </w:t>
      </w:r>
      <w:r w:rsidRPr="008D65FF">
        <w:rPr>
          <w:iCs/>
          <w:szCs w:val="18"/>
        </w:rPr>
        <w:t>cit</w:t>
      </w:r>
      <w:r w:rsidRPr="00AE6D2D">
        <w:rPr>
          <w:i/>
          <w:iCs/>
          <w:szCs w:val="18"/>
        </w:rPr>
        <w:t>.</w:t>
      </w:r>
    </w:p>
  </w:footnote>
  <w:footnote w:id="153">
    <w:p w14:paraId="7C0DDFFE" w14:textId="699C5B45"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17 maggio 1990, C-262/88, </w:t>
      </w:r>
      <w:r w:rsidRPr="00AE6D2D">
        <w:rPr>
          <w:i/>
          <w:iCs/>
          <w:szCs w:val="18"/>
        </w:rPr>
        <w:t>Barber</w:t>
      </w:r>
      <w:r w:rsidRPr="00464DEB">
        <w:rPr>
          <w:szCs w:val="18"/>
        </w:rPr>
        <w:t>; (Grande Sez</w:t>
      </w:r>
      <w:r w:rsidR="0024442F">
        <w:rPr>
          <w:szCs w:val="18"/>
        </w:rPr>
        <w:t>.</w:t>
      </w:r>
      <w:r w:rsidRPr="00464DEB">
        <w:rPr>
          <w:szCs w:val="18"/>
        </w:rPr>
        <w:t xml:space="preserve">), 15 marzo 2005, C-209/03, </w:t>
      </w:r>
      <w:r w:rsidRPr="00AE6D2D">
        <w:rPr>
          <w:i/>
          <w:iCs/>
          <w:szCs w:val="18"/>
        </w:rPr>
        <w:t>Bidar</w:t>
      </w:r>
      <w:r w:rsidRPr="00464DEB">
        <w:rPr>
          <w:szCs w:val="18"/>
        </w:rPr>
        <w:t xml:space="preserve">; 27 aprile 2006, C-423/04, </w:t>
      </w:r>
      <w:r w:rsidRPr="00AE6D2D">
        <w:rPr>
          <w:i/>
          <w:iCs/>
          <w:szCs w:val="18"/>
        </w:rPr>
        <w:t>Richards</w:t>
      </w:r>
      <w:r w:rsidRPr="00464DEB">
        <w:rPr>
          <w:szCs w:val="18"/>
        </w:rPr>
        <w:t>.</w:t>
      </w:r>
    </w:p>
  </w:footnote>
  <w:footnote w:id="154">
    <w:p w14:paraId="3B56FFD8"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iCs/>
          <w:szCs w:val="18"/>
        </w:rPr>
        <w:t>Sürül</w:t>
      </w:r>
      <w:r w:rsidRPr="00464DEB">
        <w:rPr>
          <w:szCs w:val="18"/>
        </w:rPr>
        <w:t>, cit.</w:t>
      </w:r>
    </w:p>
  </w:footnote>
  <w:footnote w:id="155">
    <w:p w14:paraId="13A1E2F4"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iCs/>
          <w:szCs w:val="18"/>
        </w:rPr>
        <w:t>Sürül,</w:t>
      </w:r>
      <w:r w:rsidRPr="00464DEB">
        <w:rPr>
          <w:szCs w:val="18"/>
        </w:rPr>
        <w:t xml:space="preserve"> cit.</w:t>
      </w:r>
    </w:p>
  </w:footnote>
  <w:footnote w:id="156">
    <w:p w14:paraId="448C6A2E"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13 gennaio 2004, C-453/00,</w:t>
      </w:r>
      <w:r w:rsidRPr="00AE6D2D">
        <w:rPr>
          <w:i/>
          <w:szCs w:val="18"/>
        </w:rPr>
        <w:t xml:space="preserve"> Kühne &amp; Heitz</w:t>
      </w:r>
      <w:r w:rsidRPr="00464DEB">
        <w:rPr>
          <w:szCs w:val="18"/>
        </w:rPr>
        <w:t>. Nello stesso filone si colloca la sentenza,</w:t>
      </w:r>
      <w:r w:rsidRPr="00AE6D2D">
        <w:rPr>
          <w:i/>
          <w:szCs w:val="18"/>
        </w:rPr>
        <w:t xml:space="preserve"> Kempter</w:t>
      </w:r>
      <w:r w:rsidRPr="00464DEB">
        <w:rPr>
          <w:szCs w:val="18"/>
        </w:rPr>
        <w:t>, cit., che pone l’obbligo per le autorità amministrative di riaprire il procedimento e, nel caso in cui la illegittimità della decisione sia fondata su una errata interpretazione del diritto comunitario, annullare d’ufficio il provvedimento anche se coperto dal giudicato amministrativo.</w:t>
      </w:r>
    </w:p>
  </w:footnote>
  <w:footnote w:id="157">
    <w:p w14:paraId="59D241BF" w14:textId="10A75F19"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w:t>
      </w:r>
      <w:r w:rsidRPr="00464DEB">
        <w:rPr>
          <w:rFonts w:eastAsia="SimonciniGaramondStd"/>
          <w:szCs w:val="18"/>
        </w:rPr>
        <w:t>28 marzo 2017, C-72/15</w:t>
      </w:r>
      <w:r w:rsidRPr="00464DEB">
        <w:rPr>
          <w:szCs w:val="18"/>
        </w:rPr>
        <w:t xml:space="preserve">, </w:t>
      </w:r>
      <w:r w:rsidRPr="00AE6D2D">
        <w:rPr>
          <w:rFonts w:eastAsia="SimonciniGaramondStd"/>
          <w:i/>
          <w:iCs/>
          <w:szCs w:val="18"/>
        </w:rPr>
        <w:t>Rosneft</w:t>
      </w:r>
      <w:r w:rsidRPr="00464DEB">
        <w:rPr>
          <w:szCs w:val="18"/>
        </w:rPr>
        <w:t>.</w:t>
      </w:r>
    </w:p>
  </w:footnote>
  <w:footnote w:id="158">
    <w:p w14:paraId="723130D3"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(ord.) 5 marzo 1986, 69/85, </w:t>
      </w:r>
      <w:r w:rsidRPr="00AE6D2D">
        <w:rPr>
          <w:i/>
          <w:szCs w:val="18"/>
        </w:rPr>
        <w:t>Wünsche Handelsgesellschaft GmbH &amp; Co. c. Germania</w:t>
      </w:r>
      <w:r w:rsidRPr="00464DEB">
        <w:rPr>
          <w:szCs w:val="18"/>
        </w:rPr>
        <w:t>, punto 16.</w:t>
      </w:r>
    </w:p>
  </w:footnote>
  <w:footnote w:id="159">
    <w:p w14:paraId="642AF2D4"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9 agosto 1994, C-327/91, </w:t>
      </w:r>
      <w:r w:rsidRPr="00AE6D2D">
        <w:rPr>
          <w:i/>
          <w:szCs w:val="18"/>
        </w:rPr>
        <w:t>Francia c. Commissione</w:t>
      </w:r>
      <w:r w:rsidRPr="00464DEB">
        <w:rPr>
          <w:szCs w:val="18"/>
        </w:rPr>
        <w:t>.</w:t>
      </w:r>
    </w:p>
  </w:footnote>
  <w:footnote w:id="160">
    <w:p w14:paraId="5EB2A9AC"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w:t>
      </w:r>
      <w:r w:rsidRPr="00AE6D2D">
        <w:rPr>
          <w:i/>
          <w:szCs w:val="18"/>
        </w:rPr>
        <w:t>Francia c. Commissione</w:t>
      </w:r>
      <w:r w:rsidRPr="00464DEB">
        <w:rPr>
          <w:szCs w:val="18"/>
        </w:rPr>
        <w:t>, cit., punto 16.</w:t>
      </w:r>
    </w:p>
  </w:footnote>
  <w:footnote w:id="161">
    <w:p w14:paraId="07241297"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Cfr., </w:t>
      </w:r>
      <w:r w:rsidRPr="00AE6D2D">
        <w:rPr>
          <w:i/>
          <w:szCs w:val="18"/>
        </w:rPr>
        <w:t>ex multis</w:t>
      </w:r>
      <w:r w:rsidRPr="00464DEB">
        <w:rPr>
          <w:szCs w:val="18"/>
        </w:rPr>
        <w:t xml:space="preserve">, Corte giust., </w:t>
      </w:r>
      <w:r w:rsidRPr="00AE6D2D">
        <w:rPr>
          <w:i/>
          <w:szCs w:val="18"/>
        </w:rPr>
        <w:t>Foto-Frost c. Hauptzollamt Lübeck-Ost</w:t>
      </w:r>
      <w:r w:rsidRPr="00464DEB">
        <w:rPr>
          <w:szCs w:val="18"/>
        </w:rPr>
        <w:t>, cit., punto 16.</w:t>
      </w:r>
    </w:p>
  </w:footnote>
  <w:footnote w:id="162">
    <w:p w14:paraId="0DE9DBF0" w14:textId="77777777" w:rsidR="009F5584" w:rsidRDefault="009F5584">
      <w:pPr>
        <w:pStyle w:val="Testonotaapidipagina"/>
      </w:pPr>
      <w:r>
        <w:rPr>
          <w:rStyle w:val="Rimandonotaapidipagina"/>
        </w:rPr>
        <w:footnoteRef/>
      </w:r>
      <w:r>
        <w:t xml:space="preserve"> Corte giust., 13 dicembre 1989, C-322/88, </w:t>
      </w:r>
      <w:r w:rsidRPr="009F5584">
        <w:rPr>
          <w:i/>
        </w:rPr>
        <w:t>Grimaldi</w:t>
      </w:r>
      <w:r>
        <w:t xml:space="preserve">; 20 febbraio 2018, C-16/16 P, </w:t>
      </w:r>
      <w:r w:rsidRPr="009F5584">
        <w:rPr>
          <w:i/>
        </w:rPr>
        <w:t>Belgio c. Commissione</w:t>
      </w:r>
      <w:r>
        <w:t>, punto 44.</w:t>
      </w:r>
    </w:p>
  </w:footnote>
  <w:footnote w:id="163">
    <w:p w14:paraId="5FA738B0" w14:textId="77777777" w:rsidR="008F0581" w:rsidRPr="00AE5E64" w:rsidRDefault="008F0581" w:rsidP="002C4301">
      <w:pPr>
        <w:pStyle w:val="Testonotaapidipagina"/>
        <w:rPr>
          <w:szCs w:val="18"/>
          <w:lang w:val="en-US"/>
        </w:rPr>
      </w:pPr>
      <w:r w:rsidRPr="006E1027">
        <w:rPr>
          <w:rStyle w:val="Rimandonotaapidipagina"/>
          <w:snapToGrid w:val="0"/>
          <w:szCs w:val="18"/>
          <w:u w:color="000000"/>
        </w:rPr>
        <w:footnoteRef/>
      </w:r>
      <w:r w:rsidRPr="00AE5E64">
        <w:rPr>
          <w:snapToGrid w:val="0"/>
          <w:szCs w:val="18"/>
          <w:u w:color="000000"/>
          <w:vertAlign w:val="superscript"/>
          <w:lang w:val="en-US"/>
        </w:rPr>
        <w:t> </w:t>
      </w:r>
      <w:r w:rsidRPr="00AE5E64">
        <w:rPr>
          <w:szCs w:val="18"/>
          <w:lang w:val="en-US"/>
        </w:rPr>
        <w:t xml:space="preserve">Corte giust., 12 dicembre 1972, 21/72, 22/72, 23/72 e 24/72, </w:t>
      </w:r>
      <w:r w:rsidRPr="00AE5E64">
        <w:rPr>
          <w:i/>
          <w:szCs w:val="18"/>
          <w:lang w:val="en-US"/>
        </w:rPr>
        <w:t>International Fruit NV and others c. Produktschap voor Groenten en Fruit</w:t>
      </w:r>
      <w:r w:rsidRPr="00AE5E64">
        <w:rPr>
          <w:szCs w:val="18"/>
          <w:lang w:val="en-US"/>
        </w:rPr>
        <w:t>, punti 4-6.</w:t>
      </w:r>
    </w:p>
  </w:footnote>
  <w:footnote w:id="164">
    <w:p w14:paraId="2D36A21D" w14:textId="77777777" w:rsidR="008F0581" w:rsidRPr="004050C9" w:rsidRDefault="008F0581" w:rsidP="002C4301">
      <w:pPr>
        <w:pStyle w:val="Testonotaapidipagina"/>
        <w:rPr>
          <w:szCs w:val="18"/>
          <w:lang w:val="fr-FR"/>
        </w:rPr>
      </w:pPr>
      <w:r w:rsidRPr="006E1027">
        <w:rPr>
          <w:rStyle w:val="Rimandonotaapidipagina"/>
          <w:snapToGrid w:val="0"/>
          <w:szCs w:val="18"/>
          <w:u w:color="000000"/>
        </w:rPr>
        <w:footnoteRef/>
      </w:r>
      <w:r w:rsidRPr="004050C9">
        <w:rPr>
          <w:snapToGrid w:val="0"/>
          <w:szCs w:val="18"/>
          <w:u w:color="000000"/>
          <w:vertAlign w:val="superscript"/>
          <w:lang w:val="fr-FR"/>
        </w:rPr>
        <w:t> </w:t>
      </w:r>
      <w:r w:rsidRPr="004050C9">
        <w:rPr>
          <w:szCs w:val="18"/>
          <w:lang w:val="fr-FR"/>
        </w:rPr>
        <w:t xml:space="preserve">Corte giust., 22 ottobre 2002, C-241/01, </w:t>
      </w:r>
      <w:r w:rsidRPr="004050C9">
        <w:rPr>
          <w:i/>
          <w:szCs w:val="18"/>
          <w:lang w:val="fr-FR"/>
        </w:rPr>
        <w:t>National Farmers Union c. Secrétariat général du gouvernement</w:t>
      </w:r>
      <w:r w:rsidRPr="004050C9">
        <w:rPr>
          <w:szCs w:val="18"/>
          <w:lang w:val="fr-FR"/>
        </w:rPr>
        <w:t>, punto 34.</w:t>
      </w:r>
    </w:p>
  </w:footnote>
  <w:footnote w:id="165">
    <w:p w14:paraId="23F5F4C6" w14:textId="77777777" w:rsidR="008F0581" w:rsidRPr="004050C9" w:rsidRDefault="008F0581" w:rsidP="002C4301">
      <w:pPr>
        <w:pStyle w:val="Testonotaapidipagina"/>
        <w:rPr>
          <w:szCs w:val="18"/>
          <w:lang w:val="de-DE"/>
        </w:rPr>
      </w:pPr>
      <w:r w:rsidRPr="006E1027">
        <w:rPr>
          <w:rStyle w:val="Rimandonotaapidipagina"/>
          <w:snapToGrid w:val="0"/>
          <w:szCs w:val="18"/>
          <w:u w:color="000000"/>
        </w:rPr>
        <w:footnoteRef/>
      </w:r>
      <w:r w:rsidRPr="004050C9">
        <w:rPr>
          <w:snapToGrid w:val="0"/>
          <w:szCs w:val="18"/>
          <w:u w:color="000000"/>
          <w:vertAlign w:val="superscript"/>
          <w:lang w:val="de-DE"/>
        </w:rPr>
        <w:t> </w:t>
      </w:r>
      <w:r w:rsidRPr="004050C9">
        <w:rPr>
          <w:szCs w:val="18"/>
          <w:lang w:val="de-DE"/>
        </w:rPr>
        <w:t xml:space="preserve">Corte giust., 9 marzo 1994, C-188/92, </w:t>
      </w:r>
      <w:r w:rsidRPr="004050C9">
        <w:rPr>
          <w:i/>
          <w:szCs w:val="18"/>
          <w:lang w:val="de-DE"/>
        </w:rPr>
        <w:t>TWD Textilwerke Deggendorf GmbH c. Bundesrepublik Deutschland</w:t>
      </w:r>
      <w:r w:rsidRPr="004050C9">
        <w:rPr>
          <w:szCs w:val="18"/>
          <w:lang w:val="de-DE"/>
        </w:rPr>
        <w:t>.</w:t>
      </w:r>
    </w:p>
  </w:footnote>
  <w:footnote w:id="166">
    <w:p w14:paraId="2DBC1949" w14:textId="77777777" w:rsidR="008F0581" w:rsidRPr="004050C9" w:rsidRDefault="008F0581" w:rsidP="002C4301">
      <w:pPr>
        <w:pStyle w:val="Testonotaapidipagina"/>
        <w:rPr>
          <w:szCs w:val="18"/>
          <w:lang w:val="de-DE"/>
        </w:rPr>
      </w:pPr>
      <w:r w:rsidRPr="006E1027">
        <w:rPr>
          <w:rStyle w:val="Rimandonotaapidipagina"/>
          <w:snapToGrid w:val="0"/>
          <w:szCs w:val="18"/>
          <w:u w:color="000000"/>
        </w:rPr>
        <w:footnoteRef/>
      </w:r>
      <w:r w:rsidRPr="004050C9">
        <w:rPr>
          <w:snapToGrid w:val="0"/>
          <w:szCs w:val="18"/>
          <w:u w:color="000000"/>
          <w:vertAlign w:val="superscript"/>
          <w:lang w:val="de-DE"/>
        </w:rPr>
        <w:t> </w:t>
      </w:r>
      <w:r w:rsidRPr="004050C9">
        <w:rPr>
          <w:szCs w:val="18"/>
          <w:lang w:val="de-DE"/>
        </w:rPr>
        <w:t xml:space="preserve">Corte giust., 15 febbraio 2001, C-239/99, </w:t>
      </w:r>
      <w:r w:rsidRPr="004050C9">
        <w:rPr>
          <w:i/>
          <w:szCs w:val="18"/>
          <w:lang w:val="de-DE"/>
        </w:rPr>
        <w:t>Nachi Europe GmbH c. Hauptzollamt Krefeld</w:t>
      </w:r>
      <w:r w:rsidRPr="004050C9">
        <w:rPr>
          <w:szCs w:val="18"/>
          <w:lang w:val="de-DE"/>
        </w:rPr>
        <w:t>.</w:t>
      </w:r>
    </w:p>
  </w:footnote>
  <w:footnote w:id="167">
    <w:p w14:paraId="2422D8B1"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11 novembre 1997, C-408/95, </w:t>
      </w:r>
      <w:r w:rsidRPr="00AE6D2D">
        <w:rPr>
          <w:i/>
          <w:szCs w:val="18"/>
        </w:rPr>
        <w:t>Eurotunnel SA e a. c. SeaFrance</w:t>
      </w:r>
      <w:r w:rsidRPr="00464DEB">
        <w:rPr>
          <w:szCs w:val="18"/>
        </w:rPr>
        <w:t>.</w:t>
      </w:r>
    </w:p>
  </w:footnote>
  <w:footnote w:id="168">
    <w:p w14:paraId="67DFC99A" w14:textId="7714E74D" w:rsidR="008F0581" w:rsidRPr="004A50CC"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23 febbraio 2006, C-346/03, </w:t>
      </w:r>
      <w:r w:rsidRPr="00AE6D2D">
        <w:rPr>
          <w:i/>
          <w:szCs w:val="18"/>
        </w:rPr>
        <w:t>Atzeni e a. c.</w:t>
      </w:r>
      <w:r w:rsidRPr="00464DEB">
        <w:rPr>
          <w:b/>
          <w:szCs w:val="18"/>
        </w:rPr>
        <w:t xml:space="preserve"> </w:t>
      </w:r>
      <w:r w:rsidRPr="00AE6D2D">
        <w:rPr>
          <w:i/>
          <w:szCs w:val="18"/>
        </w:rPr>
        <w:t>Regione autonoma della Sardegna</w:t>
      </w:r>
      <w:r w:rsidR="004A50CC">
        <w:rPr>
          <w:i/>
          <w:szCs w:val="18"/>
        </w:rPr>
        <w:t xml:space="preserve">; </w:t>
      </w:r>
      <w:r w:rsidR="004A50CC" w:rsidRPr="004A50CC">
        <w:rPr>
          <w:szCs w:val="18"/>
        </w:rPr>
        <w:t xml:space="preserve">22 giugno 2023, C-268/22, </w:t>
      </w:r>
      <w:r w:rsidR="004A50CC" w:rsidRPr="004A50CC">
        <w:rPr>
          <w:i/>
          <w:szCs w:val="18"/>
        </w:rPr>
        <w:t>Vitol SA</w:t>
      </w:r>
      <w:r w:rsidR="004A50CC" w:rsidRPr="004A50CC">
        <w:rPr>
          <w:szCs w:val="18"/>
        </w:rPr>
        <w:t>, punto 32 e ss.</w:t>
      </w:r>
    </w:p>
  </w:footnote>
  <w:footnote w:id="169">
    <w:p w14:paraId="0F4607D8" w14:textId="77777777" w:rsidR="008F0581" w:rsidRPr="00464DEB" w:rsidRDefault="008F0581" w:rsidP="002C4301">
      <w:pPr>
        <w:pStyle w:val="Testonotaapidipagina"/>
        <w:rPr>
          <w:szCs w:val="18"/>
        </w:rPr>
      </w:pPr>
      <w:r w:rsidRPr="004A50CC">
        <w:rPr>
          <w:rStyle w:val="Rimandonotaapidipagina"/>
          <w:snapToGrid w:val="0"/>
          <w:szCs w:val="18"/>
          <w:u w:color="000000"/>
        </w:rPr>
        <w:footnoteRef/>
      </w:r>
      <w:r w:rsidRPr="004A50CC">
        <w:rPr>
          <w:snapToGrid w:val="0"/>
          <w:szCs w:val="18"/>
          <w:u w:color="000000"/>
          <w:vertAlign w:val="superscript"/>
        </w:rPr>
        <w:t> </w:t>
      </w:r>
      <w:r w:rsidRPr="004A50CC">
        <w:rPr>
          <w:szCs w:val="18"/>
        </w:rPr>
        <w:t xml:space="preserve">Corte giust., 10 gennaio 2006, C-222/04, </w:t>
      </w:r>
      <w:r w:rsidRPr="007B7251">
        <w:rPr>
          <w:szCs w:val="18"/>
        </w:rPr>
        <w:t>Ministero dell’economia</w:t>
      </w:r>
      <w:r w:rsidRPr="00AE6D2D">
        <w:rPr>
          <w:i/>
          <w:szCs w:val="18"/>
        </w:rPr>
        <w:t xml:space="preserve"> e delle Finanze c. Cassa di risparmio di Firenze</w:t>
      </w:r>
      <w:r w:rsidRPr="00464DEB">
        <w:rPr>
          <w:b/>
          <w:szCs w:val="18"/>
        </w:rPr>
        <w:t xml:space="preserve"> </w:t>
      </w:r>
      <w:r w:rsidRPr="00AE6D2D">
        <w:rPr>
          <w:i/>
          <w:szCs w:val="18"/>
        </w:rPr>
        <w:t>SpA e a</w:t>
      </w:r>
      <w:r w:rsidRPr="00464DEB">
        <w:rPr>
          <w:szCs w:val="18"/>
        </w:rPr>
        <w:t>., punti 72 ss.</w:t>
      </w:r>
    </w:p>
  </w:footnote>
  <w:footnote w:id="170">
    <w:p w14:paraId="0CA7965B"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Corte giust., 28 ottobre 1982, 50/82, 51/82, 53/82, 54/82, 55/82, 56/82, 57/82 e 58/82, </w:t>
      </w:r>
      <w:r w:rsidRPr="00AE6D2D">
        <w:rPr>
          <w:i/>
          <w:szCs w:val="18"/>
        </w:rPr>
        <w:t>Administrateur des Affaires Maritimes, Bayonne e Procuratore della Repubblica c. José Dorca Marina e a.</w:t>
      </w:r>
      <w:r w:rsidRPr="00464DEB">
        <w:rPr>
          <w:szCs w:val="18"/>
        </w:rPr>
        <w:t>, punto 13.</w:t>
      </w:r>
    </w:p>
  </w:footnote>
  <w:footnote w:id="171">
    <w:p w14:paraId="143FCCF8"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Cfr. Corte giust., 1° dicembre 1965, 16/65, </w:t>
      </w:r>
      <w:r w:rsidRPr="00AE6D2D">
        <w:rPr>
          <w:i/>
          <w:szCs w:val="18"/>
        </w:rPr>
        <w:t>Schwarze c. Einfuhr– und Vorratsstelle für Getreide und Futtermittel</w:t>
      </w:r>
      <w:r w:rsidRPr="00464DEB">
        <w:rPr>
          <w:szCs w:val="18"/>
        </w:rPr>
        <w:t>, nella quale la Corte ha ricavato, dal tenore delle questioni interpretative deferite, la volontà del giudice del rinvio di sindacare la validità dell’atto in discussione.</w:t>
      </w:r>
    </w:p>
  </w:footnote>
  <w:footnote w:id="172">
    <w:p w14:paraId="6EA70A80" w14:textId="77777777" w:rsidR="008F0581" w:rsidRPr="004050C9" w:rsidRDefault="008F0581" w:rsidP="002C4301">
      <w:pPr>
        <w:pStyle w:val="Testonotaapidipagina"/>
        <w:rPr>
          <w:szCs w:val="18"/>
          <w:lang w:val="de-DE"/>
        </w:rPr>
      </w:pPr>
      <w:r w:rsidRPr="006E1027">
        <w:rPr>
          <w:rStyle w:val="Rimandonotaapidipagina"/>
          <w:snapToGrid w:val="0"/>
          <w:szCs w:val="18"/>
          <w:u w:color="000000"/>
        </w:rPr>
        <w:footnoteRef/>
      </w:r>
      <w:r w:rsidRPr="004050C9">
        <w:rPr>
          <w:snapToGrid w:val="0"/>
          <w:szCs w:val="18"/>
          <w:u w:color="000000"/>
          <w:vertAlign w:val="superscript"/>
          <w:lang w:val="de-DE"/>
        </w:rPr>
        <w:t> </w:t>
      </w:r>
      <w:r w:rsidRPr="004050C9">
        <w:rPr>
          <w:szCs w:val="18"/>
          <w:lang w:val="de-DE"/>
        </w:rPr>
        <w:t xml:space="preserve">Corte giust., 12 novembre 1969, 29/69, </w:t>
      </w:r>
      <w:r w:rsidRPr="004050C9">
        <w:rPr>
          <w:i/>
          <w:szCs w:val="18"/>
          <w:lang w:val="de-DE"/>
        </w:rPr>
        <w:t>Stauder c. Stadt Ulm-Sozialamt</w:t>
      </w:r>
      <w:r w:rsidRPr="004050C9">
        <w:rPr>
          <w:szCs w:val="18"/>
          <w:lang w:val="de-DE"/>
        </w:rPr>
        <w:t>.</w:t>
      </w:r>
    </w:p>
  </w:footnote>
  <w:footnote w:id="173">
    <w:p w14:paraId="194ACA7C" w14:textId="77777777" w:rsidR="008F0581" w:rsidRPr="004050C9" w:rsidRDefault="008F0581" w:rsidP="002C4301">
      <w:pPr>
        <w:pStyle w:val="Testonotaapidipagina"/>
        <w:rPr>
          <w:szCs w:val="18"/>
          <w:lang w:val="de-DE"/>
        </w:rPr>
      </w:pPr>
      <w:r w:rsidRPr="006E1027">
        <w:rPr>
          <w:rStyle w:val="Rimandonotaapidipagina"/>
          <w:snapToGrid w:val="0"/>
          <w:szCs w:val="18"/>
          <w:u w:color="000000"/>
        </w:rPr>
        <w:footnoteRef/>
      </w:r>
      <w:r w:rsidRPr="004050C9">
        <w:rPr>
          <w:snapToGrid w:val="0"/>
          <w:szCs w:val="18"/>
          <w:u w:color="000000"/>
          <w:vertAlign w:val="superscript"/>
          <w:lang w:val="de-DE"/>
        </w:rPr>
        <w:t> </w:t>
      </w:r>
      <w:r w:rsidRPr="004050C9">
        <w:rPr>
          <w:szCs w:val="18"/>
          <w:lang w:val="de-DE"/>
        </w:rPr>
        <w:t xml:space="preserve">Cfr., ad esempio, Corte giust., 25 ottobre 1978, 103/77, </w:t>
      </w:r>
      <w:r w:rsidRPr="004050C9">
        <w:rPr>
          <w:i/>
          <w:szCs w:val="18"/>
          <w:lang w:val="de-DE"/>
        </w:rPr>
        <w:t>Royal Scholten-Honig (Holdings) Limited c. Intervention Board for Agricultural</w:t>
      </w:r>
      <w:r w:rsidRPr="004050C9">
        <w:rPr>
          <w:szCs w:val="18"/>
          <w:lang w:val="de-DE"/>
        </w:rPr>
        <w:t xml:space="preserve">; 3 febbraio 1977, 62/76, </w:t>
      </w:r>
      <w:r w:rsidRPr="004050C9">
        <w:rPr>
          <w:i/>
          <w:szCs w:val="18"/>
          <w:lang w:val="de-DE"/>
        </w:rPr>
        <w:t>Strehl c. Nationaal Pensioenfonds voor Mijnwerkers</w:t>
      </w:r>
      <w:r w:rsidRPr="004050C9">
        <w:rPr>
          <w:szCs w:val="18"/>
          <w:lang w:val="de-DE"/>
        </w:rPr>
        <w:t>.</w:t>
      </w:r>
    </w:p>
  </w:footnote>
  <w:footnote w:id="174">
    <w:p w14:paraId="6546C5CB"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13 maggio 1981, 66/80,</w:t>
      </w:r>
      <w:r w:rsidRPr="00AE6D2D">
        <w:rPr>
          <w:i/>
          <w:iCs/>
          <w:szCs w:val="18"/>
        </w:rPr>
        <w:t xml:space="preserve"> International Chemical Corp.</w:t>
      </w:r>
    </w:p>
  </w:footnote>
  <w:footnote w:id="175">
    <w:p w14:paraId="671EF946"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13 luglio 1978, 8/78,</w:t>
      </w:r>
      <w:r w:rsidRPr="00AE6D2D">
        <w:rPr>
          <w:i/>
          <w:iCs/>
          <w:szCs w:val="18"/>
        </w:rPr>
        <w:t xml:space="preserve"> Milac</w:t>
      </w:r>
      <w:r w:rsidRPr="00464DEB">
        <w:rPr>
          <w:szCs w:val="18"/>
        </w:rPr>
        <w:t>.</w:t>
      </w:r>
    </w:p>
  </w:footnote>
  <w:footnote w:id="176">
    <w:p w14:paraId="2A4DEE4A"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1° dicembre 1965, 16/65,</w:t>
      </w:r>
      <w:r w:rsidRPr="00AE6D2D">
        <w:rPr>
          <w:i/>
          <w:iCs/>
          <w:szCs w:val="18"/>
        </w:rPr>
        <w:t xml:space="preserve"> Schwarze</w:t>
      </w:r>
      <w:r w:rsidRPr="00464DEB">
        <w:rPr>
          <w:szCs w:val="18"/>
        </w:rPr>
        <w:t>.</w:t>
      </w:r>
    </w:p>
  </w:footnote>
  <w:footnote w:id="177">
    <w:p w14:paraId="0ABB4A07"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4 ottobre 1969, 238/78,</w:t>
      </w:r>
      <w:r w:rsidRPr="00AE6D2D">
        <w:rPr>
          <w:i/>
          <w:iCs/>
          <w:szCs w:val="18"/>
        </w:rPr>
        <w:t xml:space="preserve"> Ireks Arkady</w:t>
      </w:r>
      <w:r w:rsidRPr="00464DEB">
        <w:rPr>
          <w:szCs w:val="18"/>
        </w:rPr>
        <w:t>.</w:t>
      </w:r>
    </w:p>
  </w:footnote>
  <w:footnote w:id="178">
    <w:p w14:paraId="4E13AA69" w14:textId="77777777" w:rsidR="008F0581" w:rsidRPr="007B7251" w:rsidRDefault="008F0581" w:rsidP="002C4301">
      <w:pPr>
        <w:pStyle w:val="Testonotaapidipagina"/>
        <w:rPr>
          <w:szCs w:val="18"/>
        </w:rPr>
      </w:pPr>
      <w:r w:rsidRPr="006E1027">
        <w:rPr>
          <w:rStyle w:val="Rimandonotaapidipagina"/>
          <w:szCs w:val="18"/>
        </w:rPr>
        <w:footnoteRef/>
      </w:r>
      <w:r w:rsidRPr="007B7251">
        <w:rPr>
          <w:szCs w:val="18"/>
          <w:vertAlign w:val="superscript"/>
        </w:rPr>
        <w:t> </w:t>
      </w:r>
      <w:r w:rsidRPr="007B7251">
        <w:rPr>
          <w:szCs w:val="18"/>
        </w:rPr>
        <w:t>Corte giust., 8 novembre 2001, C-228/99,</w:t>
      </w:r>
      <w:r w:rsidRPr="007B7251">
        <w:rPr>
          <w:i/>
          <w:iCs/>
          <w:szCs w:val="18"/>
        </w:rPr>
        <w:t xml:space="preserve"> Silos</w:t>
      </w:r>
      <w:r w:rsidRPr="007B7251">
        <w:rPr>
          <w:szCs w:val="18"/>
        </w:rPr>
        <w:t xml:space="preserve">; 28 febbraio 1989, 201/87, </w:t>
      </w:r>
      <w:r w:rsidRPr="007B7251">
        <w:rPr>
          <w:i/>
          <w:iCs/>
          <w:szCs w:val="18"/>
        </w:rPr>
        <w:t>Cargill</w:t>
      </w:r>
      <w:r w:rsidRPr="007B7251">
        <w:rPr>
          <w:szCs w:val="18"/>
        </w:rPr>
        <w:t>.</w:t>
      </w:r>
    </w:p>
  </w:footnote>
  <w:footnote w:id="179">
    <w:p w14:paraId="5B65C78D" w14:textId="77777777" w:rsidR="008F0581" w:rsidRPr="00AE5E64" w:rsidRDefault="008F0581" w:rsidP="002C4301">
      <w:pPr>
        <w:pStyle w:val="Testonotaapidipagina"/>
        <w:rPr>
          <w:szCs w:val="18"/>
          <w:lang w:val="pt-BR"/>
        </w:rPr>
      </w:pPr>
      <w:r w:rsidRPr="006E1027">
        <w:rPr>
          <w:rStyle w:val="Rimandonotaapidipagina"/>
          <w:snapToGrid w:val="0"/>
          <w:szCs w:val="18"/>
          <w:u w:color="000000"/>
        </w:rPr>
        <w:footnoteRef/>
      </w:r>
      <w:r w:rsidRPr="00AE5E64">
        <w:rPr>
          <w:snapToGrid w:val="0"/>
          <w:szCs w:val="18"/>
          <w:u w:color="000000"/>
          <w:vertAlign w:val="superscript"/>
          <w:lang w:val="pt-BR"/>
        </w:rPr>
        <w:t> </w:t>
      </w:r>
      <w:r w:rsidRPr="00AE5E64">
        <w:rPr>
          <w:szCs w:val="18"/>
          <w:lang w:val="pt-BR"/>
        </w:rPr>
        <w:t xml:space="preserve">Corte giust., 15 gennaio 1986, 41/84, </w:t>
      </w:r>
      <w:r w:rsidRPr="00AE5E64">
        <w:rPr>
          <w:i/>
          <w:szCs w:val="18"/>
          <w:lang w:val="pt-BR"/>
        </w:rPr>
        <w:t>Pinna c. Caisse d’allocations familiales de la Savoie</w:t>
      </w:r>
      <w:r w:rsidRPr="00AE5E64">
        <w:rPr>
          <w:szCs w:val="18"/>
          <w:lang w:val="pt-BR"/>
        </w:rPr>
        <w:t xml:space="preserve">, punto 26; 26 aprile 1994, C-228/92, </w:t>
      </w:r>
      <w:r w:rsidRPr="00AE5E64">
        <w:rPr>
          <w:i/>
          <w:szCs w:val="18"/>
          <w:lang w:val="pt-BR"/>
        </w:rPr>
        <w:t>Roquette SA c. Hauptzollamt Geldern</w:t>
      </w:r>
      <w:r w:rsidRPr="00AE5E64">
        <w:rPr>
          <w:szCs w:val="18"/>
          <w:lang w:val="pt-BR"/>
        </w:rPr>
        <w:t>, punti 23 ss.</w:t>
      </w:r>
    </w:p>
  </w:footnote>
  <w:footnote w:id="180">
    <w:p w14:paraId="6AA56468" w14:textId="6CE00F28"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15 ottobre 1980, 4/79, </w:t>
      </w:r>
      <w:r w:rsidRPr="00AE6D2D">
        <w:rPr>
          <w:i/>
          <w:iCs/>
          <w:szCs w:val="18"/>
        </w:rPr>
        <w:t>Providence agricole de la Champagne</w:t>
      </w:r>
      <w:r w:rsidRPr="00464DEB">
        <w:rPr>
          <w:szCs w:val="18"/>
        </w:rPr>
        <w:t xml:space="preserve">; 22 maggio 1985, 33/84, </w:t>
      </w:r>
      <w:r w:rsidRPr="00AE6D2D">
        <w:rPr>
          <w:i/>
          <w:iCs/>
          <w:szCs w:val="18"/>
        </w:rPr>
        <w:t>Fragd</w:t>
      </w:r>
      <w:r w:rsidRPr="00464DEB">
        <w:rPr>
          <w:szCs w:val="18"/>
        </w:rPr>
        <w:t>.</w:t>
      </w:r>
    </w:p>
  </w:footnote>
  <w:footnote w:id="181">
    <w:p w14:paraId="21A7E528" w14:textId="77777777" w:rsidR="008F0581" w:rsidRPr="00AE5E64" w:rsidRDefault="008F0581" w:rsidP="002C4301">
      <w:pPr>
        <w:pStyle w:val="Testonotaapidipagina"/>
        <w:rPr>
          <w:szCs w:val="18"/>
          <w:lang w:val="de-DE"/>
        </w:rPr>
      </w:pPr>
      <w:r w:rsidRPr="006E1027">
        <w:rPr>
          <w:rStyle w:val="Rimandonotaapidipagina"/>
          <w:szCs w:val="18"/>
        </w:rPr>
        <w:footnoteRef/>
      </w:r>
      <w:r w:rsidRPr="00AE5E64">
        <w:rPr>
          <w:szCs w:val="18"/>
          <w:vertAlign w:val="superscript"/>
          <w:lang w:val="de-DE"/>
        </w:rPr>
        <w:t> </w:t>
      </w:r>
      <w:r w:rsidRPr="00AE5E64">
        <w:rPr>
          <w:szCs w:val="18"/>
          <w:lang w:val="de-DE"/>
        </w:rPr>
        <w:t xml:space="preserve">Corte giust., </w:t>
      </w:r>
      <w:r w:rsidRPr="00AE5E64">
        <w:rPr>
          <w:i/>
          <w:szCs w:val="18"/>
          <w:lang w:val="de-DE"/>
        </w:rPr>
        <w:t>Pinna, cit.</w:t>
      </w:r>
      <w:r w:rsidRPr="00AE5E64">
        <w:rPr>
          <w:szCs w:val="18"/>
          <w:lang w:val="de-DE"/>
        </w:rPr>
        <w:t xml:space="preserve">; </w:t>
      </w:r>
      <w:r w:rsidRPr="00AE5E64">
        <w:rPr>
          <w:i/>
          <w:iCs/>
          <w:szCs w:val="18"/>
          <w:lang w:val="de-DE"/>
        </w:rPr>
        <w:t>Roquette Frères</w:t>
      </w:r>
      <w:r w:rsidRPr="00AE5E64">
        <w:rPr>
          <w:szCs w:val="18"/>
          <w:lang w:val="de-DE"/>
        </w:rPr>
        <w:t xml:space="preserve"> c. Hauptzollamt Geldern, cit.</w:t>
      </w:r>
    </w:p>
  </w:footnote>
  <w:footnote w:id="182">
    <w:p w14:paraId="410EFC09" w14:textId="77777777" w:rsidR="008F0581" w:rsidRPr="00AE5E64" w:rsidRDefault="008F0581" w:rsidP="002C4301">
      <w:pPr>
        <w:pStyle w:val="Testonotaapidipagina"/>
        <w:rPr>
          <w:szCs w:val="18"/>
          <w:lang w:val="de-DE"/>
        </w:rPr>
      </w:pPr>
      <w:r w:rsidRPr="006E1027">
        <w:rPr>
          <w:rStyle w:val="Rimandonotaapidipagina"/>
          <w:szCs w:val="18"/>
        </w:rPr>
        <w:footnoteRef/>
      </w:r>
      <w:r w:rsidRPr="00AE5E64">
        <w:rPr>
          <w:szCs w:val="18"/>
          <w:vertAlign w:val="superscript"/>
          <w:lang w:val="de-DE"/>
        </w:rPr>
        <w:t> </w:t>
      </w:r>
      <w:r w:rsidRPr="00AE5E64">
        <w:rPr>
          <w:szCs w:val="18"/>
          <w:lang w:val="de-DE"/>
        </w:rPr>
        <w:t xml:space="preserve">Corte giust., </w:t>
      </w:r>
      <w:r w:rsidRPr="00AE5E64">
        <w:rPr>
          <w:i/>
          <w:iCs/>
          <w:szCs w:val="18"/>
          <w:lang w:val="de-DE"/>
        </w:rPr>
        <w:t>Roquette Frères c. Hauptzollamt Geldern</w:t>
      </w:r>
      <w:r w:rsidRPr="00AE5E64">
        <w:rPr>
          <w:szCs w:val="18"/>
          <w:lang w:val="de-DE"/>
        </w:rPr>
        <w:t>, cit.</w:t>
      </w:r>
    </w:p>
  </w:footnote>
  <w:footnote w:id="183">
    <w:p w14:paraId="76E7AA33" w14:textId="77777777" w:rsidR="008F0581" w:rsidRPr="004050C9" w:rsidRDefault="008F0581" w:rsidP="002C4301">
      <w:pPr>
        <w:pStyle w:val="Testonotaapidipagina"/>
        <w:rPr>
          <w:szCs w:val="18"/>
          <w:lang w:val="fr-FR"/>
        </w:rPr>
      </w:pPr>
      <w:r w:rsidRPr="006E1027">
        <w:rPr>
          <w:rStyle w:val="Rimandonotaapidipagina"/>
          <w:szCs w:val="18"/>
        </w:rPr>
        <w:footnoteRef/>
      </w:r>
      <w:r w:rsidRPr="004050C9">
        <w:rPr>
          <w:szCs w:val="18"/>
          <w:vertAlign w:val="superscript"/>
          <w:lang w:val="fr-FR"/>
        </w:rPr>
        <w:t> </w:t>
      </w:r>
      <w:r w:rsidRPr="004050C9">
        <w:rPr>
          <w:szCs w:val="18"/>
          <w:lang w:val="fr-FR"/>
        </w:rPr>
        <w:t xml:space="preserve">Corte giust., 13 febbraio 1996, C-197/94 e C-252/94, </w:t>
      </w:r>
      <w:r w:rsidRPr="00645EC6">
        <w:rPr>
          <w:i/>
          <w:szCs w:val="18"/>
          <w:lang w:val="fr-FR"/>
        </w:rPr>
        <w:t>Société Bautiaa c. Directeur des services fiscaux des Landes</w:t>
      </w:r>
      <w:r w:rsidRPr="00645EC6">
        <w:rPr>
          <w:szCs w:val="18"/>
          <w:lang w:val="fr-FR"/>
        </w:rPr>
        <w:t>.</w:t>
      </w:r>
    </w:p>
  </w:footnote>
  <w:footnote w:id="184">
    <w:p w14:paraId="30796AED" w14:textId="77777777" w:rsidR="008F0581" w:rsidRPr="007B7251" w:rsidRDefault="008F0581" w:rsidP="002C4301">
      <w:pPr>
        <w:pStyle w:val="Testonotaapidipagina"/>
        <w:rPr>
          <w:szCs w:val="18"/>
          <w:lang w:val="pt-BR"/>
        </w:rPr>
      </w:pPr>
      <w:r w:rsidRPr="006E1027">
        <w:rPr>
          <w:rStyle w:val="Rimandonotaapidipagina"/>
          <w:szCs w:val="18"/>
        </w:rPr>
        <w:footnoteRef/>
      </w:r>
      <w:r w:rsidRPr="007B7251">
        <w:rPr>
          <w:szCs w:val="18"/>
          <w:vertAlign w:val="superscript"/>
          <w:lang w:val="pt-BR"/>
        </w:rPr>
        <w:t> </w:t>
      </w:r>
      <w:r w:rsidRPr="007B7251">
        <w:rPr>
          <w:szCs w:val="18"/>
          <w:lang w:val="pt-BR"/>
        </w:rPr>
        <w:t>Corte giust. (</w:t>
      </w:r>
      <w:r w:rsidRPr="007B7251">
        <w:rPr>
          <w:bCs/>
          <w:szCs w:val="18"/>
          <w:lang w:val="pt-BR"/>
        </w:rPr>
        <w:t>ord. del Presidente), 25 febbraio 2021, C</w:t>
      </w:r>
      <w:r w:rsidRPr="007B7251">
        <w:rPr>
          <w:rFonts w:cs="Cambria Math"/>
          <w:bCs/>
          <w:szCs w:val="18"/>
          <w:lang w:val="pt-BR"/>
        </w:rPr>
        <w:t>-</w:t>
      </w:r>
      <w:r w:rsidRPr="007B7251">
        <w:rPr>
          <w:bCs/>
          <w:szCs w:val="18"/>
          <w:lang w:val="pt-BR"/>
        </w:rPr>
        <w:t>14/21 e C</w:t>
      </w:r>
      <w:r w:rsidRPr="007B7251">
        <w:rPr>
          <w:rFonts w:cs="Cambria Math"/>
          <w:bCs/>
          <w:szCs w:val="18"/>
          <w:lang w:val="pt-BR"/>
        </w:rPr>
        <w:t>-</w:t>
      </w:r>
      <w:r w:rsidRPr="007B7251">
        <w:rPr>
          <w:bCs/>
          <w:szCs w:val="18"/>
          <w:lang w:val="pt-BR"/>
        </w:rPr>
        <w:t xml:space="preserve">15/21, </w:t>
      </w:r>
      <w:r w:rsidRPr="007B7251">
        <w:rPr>
          <w:bCs/>
          <w:i/>
          <w:szCs w:val="18"/>
          <w:lang w:val="pt-BR"/>
        </w:rPr>
        <w:t>Sea Watch</w:t>
      </w:r>
      <w:r w:rsidRPr="007B7251">
        <w:rPr>
          <w:bCs/>
          <w:szCs w:val="18"/>
          <w:lang w:val="pt-BR"/>
        </w:rPr>
        <w:t xml:space="preserve">, punto 22; 21 dicembre 2023, C-66/22, </w:t>
      </w:r>
      <w:r w:rsidRPr="007B7251">
        <w:rPr>
          <w:bCs/>
          <w:i/>
          <w:szCs w:val="18"/>
          <w:lang w:val="pt-BR"/>
        </w:rPr>
        <w:t xml:space="preserve">Infraestruturas de Portugal </w:t>
      </w:r>
      <w:r w:rsidRPr="000870B9">
        <w:rPr>
          <w:bCs/>
          <w:i/>
          <w:szCs w:val="18"/>
          <w:lang w:val="pt-PT"/>
        </w:rPr>
        <w:t>c. Toscca – Equipamentos em Madeira Lda</w:t>
      </w:r>
      <w:r w:rsidRPr="007B7251">
        <w:rPr>
          <w:bCs/>
          <w:szCs w:val="18"/>
          <w:lang w:val="pt-BR"/>
        </w:rPr>
        <w:t>,, punti 28 ss.</w:t>
      </w:r>
    </w:p>
  </w:footnote>
  <w:footnote w:id="185">
    <w:p w14:paraId="3D07DE7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bCs/>
          <w:szCs w:val="18"/>
        </w:rPr>
        <w:t xml:space="preserve">Corte giust., 12 gennaio 2023, C-583/22 PPU, </w:t>
      </w:r>
      <w:r w:rsidRPr="00AE6D2D">
        <w:rPr>
          <w:bCs/>
          <w:i/>
          <w:szCs w:val="18"/>
        </w:rPr>
        <w:t>MV (Cumulo delle pene)</w:t>
      </w:r>
      <w:r w:rsidRPr="00464DEB">
        <w:rPr>
          <w:bCs/>
          <w:szCs w:val="18"/>
        </w:rPr>
        <w:t>, punto 45 e giurisprudenza citata.</w:t>
      </w:r>
    </w:p>
  </w:footnote>
  <w:footnote w:id="186">
    <w:p w14:paraId="71ED4E71" w14:textId="38315564"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Corte giust. (Grande Sez</w:t>
      </w:r>
      <w:r w:rsidR="0024442F">
        <w:rPr>
          <w:szCs w:val="18"/>
        </w:rPr>
        <w:t>.</w:t>
      </w:r>
      <w:r w:rsidRPr="00464DEB">
        <w:rPr>
          <w:szCs w:val="18"/>
        </w:rPr>
        <w:t xml:space="preserve">), </w:t>
      </w:r>
      <w:r w:rsidRPr="00AE6D2D">
        <w:rPr>
          <w:i/>
          <w:szCs w:val="18"/>
        </w:rPr>
        <w:t>Lin.</w:t>
      </w:r>
      <w:r w:rsidRPr="00464DEB">
        <w:rPr>
          <w:szCs w:val="18"/>
        </w:rPr>
        <w:t>, cit., punto 47.</w:t>
      </w:r>
    </w:p>
  </w:footnote>
  <w:footnote w:id="187">
    <w:p w14:paraId="37E74A8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Cass. civ., Sez. I, 14 settembre 1999, n. 9813.</w:t>
      </w:r>
    </w:p>
  </w:footnote>
  <w:footnote w:id="188">
    <w:p w14:paraId="3F21D74F"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Cass. civ., Sez. I, 19 ottobre 2006, n. 21635.</w:t>
      </w:r>
    </w:p>
  </w:footnote>
  <w:footnote w:id="189">
    <w:p w14:paraId="104DBE21"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Il Consiglio di Stato ha precisato che la sospensione impropria “in senso lato” del processo, ossia disposta in un dato giudizio nelle more della soluzione, in un diverso giudizio, di una questione pregiudiziale costituisce, al pari della c.d. “sospensione impropria in senso stretto” (ossia disposta nel giudizio in cui viene sollevata la questione pregiudiziale), una sospensione necessaria ai sensi dell’art. 295 c.p.c</w:t>
      </w:r>
      <w:r>
        <w:rPr>
          <w:szCs w:val="18"/>
        </w:rPr>
        <w:t>.</w:t>
      </w:r>
      <w:r w:rsidRPr="00464DEB">
        <w:rPr>
          <w:szCs w:val="18"/>
        </w:rPr>
        <w:t xml:space="preserve"> avuto riguardo alla portata normativa della decisione della Corte di giustizia (Cons. Stato, A.P. 22 marzo 2024, n. 4). Sempre il Consiglio di Stato ha precisato che la sospensione impropria “in senso lato” va adottata previo contraddittorio ai sensi dell’art. 73, terzo comma, c.p.a. e solo se le parti o almeno una di esse non chiedano di poter interloquire davanti la Corte di giustizia, poiché in questi casi va disposta una nuova rimessione. Un effetto equivalente può essere conseguito mediante una sospensione sull’accordo delle parti </w:t>
      </w:r>
      <w:r w:rsidRPr="00AE6D2D">
        <w:rPr>
          <w:i/>
          <w:szCs w:val="18"/>
        </w:rPr>
        <w:t>ex</w:t>
      </w:r>
      <w:r w:rsidRPr="00464DEB">
        <w:rPr>
          <w:szCs w:val="18"/>
        </w:rPr>
        <w:t xml:space="preserve"> art. 296 c.p.c.; tale sospensione è altresì adottabile allorché la questione rilevante nel giudizio de quo sia analoga, ma non identica, a quella già pendente davanti la Corte di giustizia.</w:t>
      </w:r>
    </w:p>
  </w:footnote>
  <w:footnote w:id="190">
    <w:p w14:paraId="1183B5F5"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Cass. civ., Sez. III, (ord.) 24 maggio 2002, n. 7636, </w:t>
      </w:r>
      <w:r w:rsidRPr="00AE6D2D">
        <w:rPr>
          <w:i/>
          <w:szCs w:val="18"/>
        </w:rPr>
        <w:t>Enel distribuzione S.p.A. c. Altair Chimica S.p.A.</w:t>
      </w:r>
      <w:r w:rsidRPr="00464DEB">
        <w:rPr>
          <w:szCs w:val="18"/>
        </w:rPr>
        <w:t xml:space="preserve">, in </w:t>
      </w:r>
      <w:r w:rsidRPr="00AE6D2D">
        <w:rPr>
          <w:i/>
          <w:szCs w:val="18"/>
        </w:rPr>
        <w:t>Giustizia civile</w:t>
      </w:r>
      <w:r w:rsidRPr="00464DEB">
        <w:rPr>
          <w:szCs w:val="18"/>
        </w:rPr>
        <w:t>, 2003, I, p. 1063.</w:t>
      </w:r>
    </w:p>
  </w:footnote>
  <w:footnote w:id="191">
    <w:p w14:paraId="04E833CD"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Cass. civ., Sez. III, 16 maggio 2003, n. 7630,</w:t>
      </w:r>
      <w:r w:rsidRPr="00AE6D2D">
        <w:rPr>
          <w:i/>
          <w:szCs w:val="18"/>
        </w:rPr>
        <w:t xml:space="preserve"> Rep. it. c. Gronchi</w:t>
      </w:r>
      <w:r w:rsidRPr="00464DEB">
        <w:rPr>
          <w:szCs w:val="18"/>
        </w:rPr>
        <w:t xml:space="preserve">, in </w:t>
      </w:r>
      <w:r w:rsidRPr="00AE6D2D">
        <w:rPr>
          <w:i/>
          <w:szCs w:val="18"/>
        </w:rPr>
        <w:t xml:space="preserve">Giustizia </w:t>
      </w:r>
      <w:r w:rsidRPr="000870B9">
        <w:rPr>
          <w:i/>
          <w:szCs w:val="18"/>
        </w:rPr>
        <w:t>civile</w:t>
      </w:r>
      <w:r w:rsidRPr="00464DEB">
        <w:rPr>
          <w:szCs w:val="18"/>
        </w:rPr>
        <w:t xml:space="preserve">, </w:t>
      </w:r>
      <w:r w:rsidRPr="00AE6D2D">
        <w:rPr>
          <w:i/>
          <w:szCs w:val="18"/>
        </w:rPr>
        <w:t>Mass</w:t>
      </w:r>
      <w:r w:rsidRPr="00464DEB">
        <w:rPr>
          <w:szCs w:val="18"/>
        </w:rPr>
        <w:t>., 2003, p. 5.</w:t>
      </w:r>
    </w:p>
  </w:footnote>
  <w:footnote w:id="192">
    <w:p w14:paraId="5B17F10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szCs w:val="18"/>
        </w:rPr>
        <w:t>Randstad Italia</w:t>
      </w:r>
      <w:r w:rsidRPr="00464DEB">
        <w:rPr>
          <w:szCs w:val="18"/>
        </w:rPr>
        <w:t>, cit., spec. punto 58.</w:t>
      </w:r>
    </w:p>
  </w:footnote>
  <w:footnote w:id="193">
    <w:p w14:paraId="40856950"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 xml:space="preserve">Corte giust., </w:t>
      </w:r>
      <w:r w:rsidRPr="00AE6D2D">
        <w:rPr>
          <w:i/>
          <w:iCs/>
          <w:szCs w:val="18"/>
        </w:rPr>
        <w:t>Hoffmann-La Roche</w:t>
      </w:r>
      <w:r w:rsidRPr="00464DEB">
        <w:rPr>
          <w:szCs w:val="18"/>
        </w:rPr>
        <w:t>, cit., spec. punto 44.</w:t>
      </w:r>
    </w:p>
  </w:footnote>
  <w:footnote w:id="194">
    <w:p w14:paraId="5925F382" w14:textId="77777777" w:rsidR="008F0581" w:rsidRPr="00464DEB" w:rsidRDefault="008F0581" w:rsidP="002C4301">
      <w:pPr>
        <w:pStyle w:val="Testonotaapidipagina"/>
        <w:rPr>
          <w:szCs w:val="18"/>
        </w:rPr>
      </w:pPr>
      <w:r w:rsidRPr="006E1027">
        <w:rPr>
          <w:rStyle w:val="Rimandonotaapidipagina"/>
          <w:snapToGrid w:val="0"/>
          <w:szCs w:val="18"/>
          <w:u w:color="000000"/>
        </w:rPr>
        <w:footnoteRef/>
      </w:r>
      <w:r>
        <w:rPr>
          <w:snapToGrid w:val="0"/>
          <w:szCs w:val="18"/>
          <w:u w:color="000000"/>
          <w:vertAlign w:val="superscript"/>
        </w:rPr>
        <w:t> </w:t>
      </w:r>
      <w:r w:rsidRPr="00464DEB">
        <w:rPr>
          <w:szCs w:val="18"/>
        </w:rPr>
        <w:t xml:space="preserve">Trib. di Firenze, (ord.), 15 dicembre 2003, in </w:t>
      </w:r>
      <w:r w:rsidRPr="00AE6D2D">
        <w:rPr>
          <w:i/>
          <w:szCs w:val="18"/>
        </w:rPr>
        <w:t>Foro.it</w:t>
      </w:r>
      <w:r w:rsidRPr="00464DEB">
        <w:rPr>
          <w:szCs w:val="18"/>
        </w:rPr>
        <w:t>., 2004, parte II, c. 54.</w:t>
      </w:r>
    </w:p>
  </w:footnote>
  <w:footnote w:id="195">
    <w:p w14:paraId="1FFBAD14"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sidDel="004B5DEC">
        <w:rPr>
          <w:szCs w:val="18"/>
        </w:rPr>
        <w:t xml:space="preserve">Corte </w:t>
      </w:r>
      <w:r>
        <w:rPr>
          <w:szCs w:val="18"/>
        </w:rPr>
        <w:t>c</w:t>
      </w:r>
      <w:r w:rsidRPr="00464DEB" w:rsidDel="004B5DEC">
        <w:rPr>
          <w:szCs w:val="18"/>
        </w:rPr>
        <w:t>ost.</w:t>
      </w:r>
      <w:r w:rsidRPr="00464DEB">
        <w:rPr>
          <w:szCs w:val="18"/>
        </w:rPr>
        <w:t>,</w:t>
      </w:r>
      <w:r w:rsidRPr="00464DEB" w:rsidDel="004B5DEC">
        <w:rPr>
          <w:szCs w:val="18"/>
        </w:rPr>
        <w:t xml:space="preserve"> </w:t>
      </w:r>
      <w:r w:rsidRPr="00464DEB">
        <w:rPr>
          <w:szCs w:val="18"/>
        </w:rPr>
        <w:t xml:space="preserve">15 aprile 2008, n. </w:t>
      </w:r>
      <w:r w:rsidRPr="00464DEB" w:rsidDel="004B5DEC">
        <w:rPr>
          <w:szCs w:val="18"/>
        </w:rPr>
        <w:t>102</w:t>
      </w:r>
      <w:r w:rsidRPr="00464DEB">
        <w:rPr>
          <w:szCs w:val="18"/>
        </w:rPr>
        <w:t>.</w:t>
      </w:r>
    </w:p>
  </w:footnote>
  <w:footnote w:id="196">
    <w:p w14:paraId="152B8C7E" w14:textId="77777777" w:rsidR="008F0581" w:rsidRPr="00464DEB" w:rsidRDefault="008F0581" w:rsidP="002C4301">
      <w:pPr>
        <w:pStyle w:val="Testonotaapidipagina"/>
        <w:rPr>
          <w:szCs w:val="18"/>
        </w:rPr>
      </w:pPr>
      <w:r w:rsidRPr="006E1027">
        <w:rPr>
          <w:rStyle w:val="Rimandonotaapidipagina"/>
          <w:szCs w:val="18"/>
        </w:rPr>
        <w:footnoteRef/>
      </w:r>
      <w:r>
        <w:rPr>
          <w:szCs w:val="18"/>
          <w:vertAlign w:val="superscript"/>
        </w:rPr>
        <w:t> </w:t>
      </w:r>
      <w:r w:rsidRPr="00464DEB">
        <w:rPr>
          <w:szCs w:val="18"/>
        </w:rPr>
        <w:t>Relazione annuale della Corte di giustizia per il 2023, Statistiche giudiziarie, p.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ABC0C" w14:textId="77777777" w:rsidR="008F0581" w:rsidRPr="00F91862" w:rsidRDefault="008F0581" w:rsidP="007D4EED">
    <w:pPr>
      <w:pStyle w:val="Intestazione"/>
      <w:tabs>
        <w:tab w:val="clear" w:pos="3629"/>
      </w:tabs>
      <w:jc w:val="right"/>
      <w:rPr>
        <w:rFonts w:ascii="Simoncini Garamond Std" w:hAnsi="Simoncini Garamond Std"/>
        <w:sz w:val="21"/>
        <w:szCs w:val="21"/>
      </w:rPr>
    </w:pPr>
    <w:r w:rsidRPr="00F91862">
      <w:rPr>
        <w:rFonts w:ascii="Simoncini Garamond Std" w:hAnsi="Simoncini Garamond Std" w:cs="Times New Roman"/>
        <w:sz w:val="21"/>
        <w:szCs w:val="21"/>
      </w:rPr>
      <w:fldChar w:fldCharType="begin"/>
    </w:r>
    <w:r w:rsidRPr="00F91862">
      <w:rPr>
        <w:rFonts w:ascii="Simoncini Garamond Std" w:hAnsi="Simoncini Garamond Std" w:cs="Times New Roman"/>
        <w:sz w:val="21"/>
        <w:szCs w:val="21"/>
      </w:rPr>
      <w:instrText>PAGE   \* MERGEFORMAT</w:instrText>
    </w:r>
    <w:r w:rsidRPr="00F91862">
      <w:rPr>
        <w:rFonts w:ascii="Simoncini Garamond Std" w:hAnsi="Simoncini Garamond Std" w:cs="Times New Roman"/>
        <w:sz w:val="21"/>
        <w:szCs w:val="21"/>
      </w:rPr>
      <w:fldChar w:fldCharType="separate"/>
    </w:r>
    <w:r w:rsidR="00F769B0">
      <w:rPr>
        <w:rFonts w:ascii="Simoncini Garamond Std" w:hAnsi="Simoncini Garamond Std" w:cs="Times New Roman"/>
        <w:noProof/>
        <w:sz w:val="21"/>
        <w:szCs w:val="21"/>
      </w:rPr>
      <w:t>310</w:t>
    </w:r>
    <w:r w:rsidRPr="00F91862">
      <w:rPr>
        <w:rFonts w:ascii="Simoncini Garamond Std" w:hAnsi="Simoncini Garamond Std" w:cs="Times New Roman"/>
        <w:sz w:val="21"/>
        <w:szCs w:val="21"/>
      </w:rPr>
      <w:fldChar w:fldCharType="end"/>
    </w:r>
    <w:r w:rsidRPr="00F91862">
      <w:rPr>
        <w:rFonts w:ascii="Simoncini Garamond Std" w:hAnsi="Simoncini Garamond Std"/>
      </w:rPr>
      <w:tab/>
    </w:r>
    <w:r w:rsidRPr="00487D01">
      <w:rPr>
        <w:rFonts w:ascii="Simoncini Garamond Std" w:hAnsi="Simoncini Garamond Std"/>
        <w:bCs/>
        <w:i/>
      </w:rPr>
      <w:t>Roberto Mastroianni</w:t>
    </w:r>
    <w:r>
      <w:rPr>
        <w:rFonts w:ascii="Simoncini Garamond Std" w:hAnsi="Simoncini Garamond Std"/>
        <w:bCs/>
        <w:i/>
      </w:rPr>
      <w:t xml:space="preserve"> </w:t>
    </w:r>
    <w:r w:rsidRPr="00487D01">
      <w:rPr>
        <w:rFonts w:ascii="Simoncini Garamond Std" w:hAnsi="Simoncini Garamond Std"/>
        <w:bCs/>
      </w:rPr>
      <w:t>e</w:t>
    </w:r>
    <w:r>
      <w:rPr>
        <w:rFonts w:ascii="Simoncini Garamond Std" w:hAnsi="Simoncini Garamond Std"/>
        <w:bCs/>
        <w:i/>
      </w:rPr>
      <w:t xml:space="preserve"> Fabio Ferraro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4F789" w14:textId="77777777" w:rsidR="008F0581" w:rsidRPr="001F7CF8" w:rsidRDefault="008F0581" w:rsidP="00DF0B8F">
    <w:pPr>
      <w:pStyle w:val="Intestazione"/>
      <w:tabs>
        <w:tab w:val="clear" w:pos="3629"/>
      </w:tabs>
      <w:jc w:val="both"/>
      <w:rPr>
        <w:rFonts w:ascii="Simoncini Garamond Std" w:hAnsi="Simoncini Garamond Std"/>
        <w:sz w:val="15"/>
        <w:szCs w:val="15"/>
      </w:rPr>
    </w:pPr>
    <w:r w:rsidRPr="00487D01">
      <w:rPr>
        <w:rFonts w:ascii="Simoncini Garamond Std" w:hAnsi="Simoncini Garamond Std"/>
      </w:rPr>
      <w:t>Il rinvio pregiudiziale</w:t>
    </w:r>
    <w:r w:rsidRPr="001F7CF8">
      <w:rPr>
        <w:rFonts w:ascii="Simoncini Garamond Std" w:hAnsi="Simoncini Garamond Std"/>
      </w:rPr>
      <w:tab/>
    </w:r>
    <w:r w:rsidRPr="001F7CF8">
      <w:rPr>
        <w:rFonts w:ascii="Simoncini Garamond Std" w:hAnsi="Simoncini Garamond Std" w:cs="Times New Roman"/>
        <w:sz w:val="21"/>
        <w:szCs w:val="21"/>
      </w:rPr>
      <w:fldChar w:fldCharType="begin"/>
    </w:r>
    <w:r w:rsidRPr="001F7CF8">
      <w:rPr>
        <w:rFonts w:ascii="Simoncini Garamond Std" w:hAnsi="Simoncini Garamond Std" w:cs="Times New Roman"/>
        <w:sz w:val="21"/>
        <w:szCs w:val="21"/>
      </w:rPr>
      <w:instrText>PAGE   \* MERGEFORMAT</w:instrText>
    </w:r>
    <w:r w:rsidRPr="001F7CF8">
      <w:rPr>
        <w:rFonts w:ascii="Simoncini Garamond Std" w:hAnsi="Simoncini Garamond Std" w:cs="Times New Roman"/>
        <w:sz w:val="21"/>
        <w:szCs w:val="21"/>
      </w:rPr>
      <w:fldChar w:fldCharType="separate"/>
    </w:r>
    <w:r w:rsidR="00F769B0">
      <w:rPr>
        <w:rFonts w:ascii="Simoncini Garamond Std" w:hAnsi="Simoncini Garamond Std" w:cs="Times New Roman"/>
        <w:noProof/>
        <w:sz w:val="21"/>
        <w:szCs w:val="21"/>
      </w:rPr>
      <w:t>343</w:t>
    </w:r>
    <w:r w:rsidRPr="001F7CF8">
      <w:rPr>
        <w:rFonts w:ascii="Simoncini Garamond Std" w:hAnsi="Simoncini Garamond Std" w:cs="Times New Roman"/>
        <w:sz w:val="21"/>
        <w:szCs w:val="21"/>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09"/>
  <w:autoHyphenation/>
  <w:hyphenationZone w:val="283"/>
  <w:evenAndOddHeaders/>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0C"/>
    <w:rsid w:val="000009AE"/>
    <w:rsid w:val="000033FE"/>
    <w:rsid w:val="00012B00"/>
    <w:rsid w:val="00026764"/>
    <w:rsid w:val="0003398A"/>
    <w:rsid w:val="00034A77"/>
    <w:rsid w:val="0004084D"/>
    <w:rsid w:val="0004150E"/>
    <w:rsid w:val="00044650"/>
    <w:rsid w:val="0005029C"/>
    <w:rsid w:val="00055076"/>
    <w:rsid w:val="000565DE"/>
    <w:rsid w:val="000569A1"/>
    <w:rsid w:val="00057A51"/>
    <w:rsid w:val="00065E94"/>
    <w:rsid w:val="00067EB0"/>
    <w:rsid w:val="000715FC"/>
    <w:rsid w:val="00072617"/>
    <w:rsid w:val="00075F2D"/>
    <w:rsid w:val="00081A95"/>
    <w:rsid w:val="00085143"/>
    <w:rsid w:val="000870B9"/>
    <w:rsid w:val="00087993"/>
    <w:rsid w:val="0009233E"/>
    <w:rsid w:val="00093936"/>
    <w:rsid w:val="000A147D"/>
    <w:rsid w:val="000A30EA"/>
    <w:rsid w:val="000A7D1F"/>
    <w:rsid w:val="000B5E71"/>
    <w:rsid w:val="000D3AEA"/>
    <w:rsid w:val="000D4EC4"/>
    <w:rsid w:val="000D55D3"/>
    <w:rsid w:val="000D62C9"/>
    <w:rsid w:val="000F246C"/>
    <w:rsid w:val="000F50FD"/>
    <w:rsid w:val="000F75F2"/>
    <w:rsid w:val="001011AD"/>
    <w:rsid w:val="00101D01"/>
    <w:rsid w:val="00101EBD"/>
    <w:rsid w:val="001034F3"/>
    <w:rsid w:val="0011063D"/>
    <w:rsid w:val="00110FE2"/>
    <w:rsid w:val="001175D4"/>
    <w:rsid w:val="001178F9"/>
    <w:rsid w:val="00122E97"/>
    <w:rsid w:val="001242D8"/>
    <w:rsid w:val="0012627F"/>
    <w:rsid w:val="001262E5"/>
    <w:rsid w:val="00126A04"/>
    <w:rsid w:val="001274A8"/>
    <w:rsid w:val="001302ED"/>
    <w:rsid w:val="00135751"/>
    <w:rsid w:val="00137317"/>
    <w:rsid w:val="0015150E"/>
    <w:rsid w:val="00154D5F"/>
    <w:rsid w:val="001564E4"/>
    <w:rsid w:val="00162C1C"/>
    <w:rsid w:val="00165AD3"/>
    <w:rsid w:val="001670A4"/>
    <w:rsid w:val="00180723"/>
    <w:rsid w:val="0019036C"/>
    <w:rsid w:val="00195B37"/>
    <w:rsid w:val="00196D76"/>
    <w:rsid w:val="001B0C9F"/>
    <w:rsid w:val="001B2DC7"/>
    <w:rsid w:val="001B59AF"/>
    <w:rsid w:val="001B6603"/>
    <w:rsid w:val="001B7A9D"/>
    <w:rsid w:val="001C036E"/>
    <w:rsid w:val="001C37B5"/>
    <w:rsid w:val="001C7376"/>
    <w:rsid w:val="001D22BF"/>
    <w:rsid w:val="001D31AA"/>
    <w:rsid w:val="001D4780"/>
    <w:rsid w:val="001E32D7"/>
    <w:rsid w:val="001E4304"/>
    <w:rsid w:val="001E6717"/>
    <w:rsid w:val="001F4FB0"/>
    <w:rsid w:val="001F5D93"/>
    <w:rsid w:val="001F7CF8"/>
    <w:rsid w:val="00201AB2"/>
    <w:rsid w:val="002075B0"/>
    <w:rsid w:val="00212F8C"/>
    <w:rsid w:val="00214E7A"/>
    <w:rsid w:val="00216DED"/>
    <w:rsid w:val="00220011"/>
    <w:rsid w:val="0022086C"/>
    <w:rsid w:val="00220874"/>
    <w:rsid w:val="00225758"/>
    <w:rsid w:val="002313AD"/>
    <w:rsid w:val="00236193"/>
    <w:rsid w:val="00241E08"/>
    <w:rsid w:val="0024442F"/>
    <w:rsid w:val="00247D9F"/>
    <w:rsid w:val="0025291E"/>
    <w:rsid w:val="00252E90"/>
    <w:rsid w:val="00253B0A"/>
    <w:rsid w:val="002625AB"/>
    <w:rsid w:val="0026299E"/>
    <w:rsid w:val="002647CE"/>
    <w:rsid w:val="0026610E"/>
    <w:rsid w:val="00267494"/>
    <w:rsid w:val="00270704"/>
    <w:rsid w:val="00282B13"/>
    <w:rsid w:val="00285405"/>
    <w:rsid w:val="00285AAD"/>
    <w:rsid w:val="00287A96"/>
    <w:rsid w:val="0029018A"/>
    <w:rsid w:val="00290E8E"/>
    <w:rsid w:val="00292D4F"/>
    <w:rsid w:val="00293DA4"/>
    <w:rsid w:val="002971C0"/>
    <w:rsid w:val="002A1548"/>
    <w:rsid w:val="002A2F4A"/>
    <w:rsid w:val="002A666D"/>
    <w:rsid w:val="002A7048"/>
    <w:rsid w:val="002B63BD"/>
    <w:rsid w:val="002C4301"/>
    <w:rsid w:val="002E1F37"/>
    <w:rsid w:val="002E392D"/>
    <w:rsid w:val="002E3B24"/>
    <w:rsid w:val="002F297E"/>
    <w:rsid w:val="002F2A96"/>
    <w:rsid w:val="002F5F1E"/>
    <w:rsid w:val="00301B2E"/>
    <w:rsid w:val="00304D9B"/>
    <w:rsid w:val="00304E82"/>
    <w:rsid w:val="003051A8"/>
    <w:rsid w:val="0030591C"/>
    <w:rsid w:val="00311D0D"/>
    <w:rsid w:val="003129E2"/>
    <w:rsid w:val="0031576F"/>
    <w:rsid w:val="00315F69"/>
    <w:rsid w:val="003218AA"/>
    <w:rsid w:val="00324A31"/>
    <w:rsid w:val="0033049C"/>
    <w:rsid w:val="00334C51"/>
    <w:rsid w:val="00365C41"/>
    <w:rsid w:val="00375DC3"/>
    <w:rsid w:val="00381739"/>
    <w:rsid w:val="00393DDC"/>
    <w:rsid w:val="00396411"/>
    <w:rsid w:val="003A19D1"/>
    <w:rsid w:val="003A2C85"/>
    <w:rsid w:val="003A483B"/>
    <w:rsid w:val="003B1D48"/>
    <w:rsid w:val="003B38F0"/>
    <w:rsid w:val="003B3DC8"/>
    <w:rsid w:val="003B3EEB"/>
    <w:rsid w:val="003C0ECE"/>
    <w:rsid w:val="003C3BE6"/>
    <w:rsid w:val="003C69D8"/>
    <w:rsid w:val="003D1B6E"/>
    <w:rsid w:val="003E7A05"/>
    <w:rsid w:val="003F0B24"/>
    <w:rsid w:val="003F787B"/>
    <w:rsid w:val="00404603"/>
    <w:rsid w:val="004050C9"/>
    <w:rsid w:val="00413880"/>
    <w:rsid w:val="004138D3"/>
    <w:rsid w:val="00413B3B"/>
    <w:rsid w:val="0041640D"/>
    <w:rsid w:val="004164C3"/>
    <w:rsid w:val="00425039"/>
    <w:rsid w:val="004327F4"/>
    <w:rsid w:val="00437059"/>
    <w:rsid w:val="004413B7"/>
    <w:rsid w:val="0044317A"/>
    <w:rsid w:val="0044334A"/>
    <w:rsid w:val="00444D44"/>
    <w:rsid w:val="004464E6"/>
    <w:rsid w:val="0044651B"/>
    <w:rsid w:val="004531CA"/>
    <w:rsid w:val="004537F4"/>
    <w:rsid w:val="00455E01"/>
    <w:rsid w:val="00457A5D"/>
    <w:rsid w:val="00462918"/>
    <w:rsid w:val="00462C45"/>
    <w:rsid w:val="0046323B"/>
    <w:rsid w:val="00464DEB"/>
    <w:rsid w:val="00475BAB"/>
    <w:rsid w:val="0047790C"/>
    <w:rsid w:val="00484F59"/>
    <w:rsid w:val="00487D01"/>
    <w:rsid w:val="00490208"/>
    <w:rsid w:val="00492D49"/>
    <w:rsid w:val="004A2894"/>
    <w:rsid w:val="004A50CC"/>
    <w:rsid w:val="004A5BA3"/>
    <w:rsid w:val="004B0B3E"/>
    <w:rsid w:val="004B30A4"/>
    <w:rsid w:val="004C159C"/>
    <w:rsid w:val="004C168C"/>
    <w:rsid w:val="004C3655"/>
    <w:rsid w:val="004D429A"/>
    <w:rsid w:val="004E2E27"/>
    <w:rsid w:val="004F5B20"/>
    <w:rsid w:val="004F7AF7"/>
    <w:rsid w:val="00510830"/>
    <w:rsid w:val="005157CD"/>
    <w:rsid w:val="00515D17"/>
    <w:rsid w:val="005205DF"/>
    <w:rsid w:val="005220D9"/>
    <w:rsid w:val="005232BA"/>
    <w:rsid w:val="005272F5"/>
    <w:rsid w:val="005362C8"/>
    <w:rsid w:val="00540298"/>
    <w:rsid w:val="005453F1"/>
    <w:rsid w:val="005472E1"/>
    <w:rsid w:val="005555A2"/>
    <w:rsid w:val="00557599"/>
    <w:rsid w:val="0056149E"/>
    <w:rsid w:val="0056220E"/>
    <w:rsid w:val="00565169"/>
    <w:rsid w:val="0056569A"/>
    <w:rsid w:val="005724B9"/>
    <w:rsid w:val="00576BD6"/>
    <w:rsid w:val="00577036"/>
    <w:rsid w:val="00582B6E"/>
    <w:rsid w:val="00591B59"/>
    <w:rsid w:val="00593903"/>
    <w:rsid w:val="0059712B"/>
    <w:rsid w:val="005A2675"/>
    <w:rsid w:val="005A636C"/>
    <w:rsid w:val="005A7026"/>
    <w:rsid w:val="005B2A4A"/>
    <w:rsid w:val="005B50BB"/>
    <w:rsid w:val="005C3AD0"/>
    <w:rsid w:val="005C5932"/>
    <w:rsid w:val="005D0B8F"/>
    <w:rsid w:val="005D58C3"/>
    <w:rsid w:val="005D5CC3"/>
    <w:rsid w:val="005D6B1E"/>
    <w:rsid w:val="005E3DBD"/>
    <w:rsid w:val="005F3C23"/>
    <w:rsid w:val="006025F6"/>
    <w:rsid w:val="0060394F"/>
    <w:rsid w:val="006112CA"/>
    <w:rsid w:val="00613BA7"/>
    <w:rsid w:val="00613BE6"/>
    <w:rsid w:val="00616B3C"/>
    <w:rsid w:val="0062066B"/>
    <w:rsid w:val="00627198"/>
    <w:rsid w:val="006329AF"/>
    <w:rsid w:val="00632E4A"/>
    <w:rsid w:val="00634A40"/>
    <w:rsid w:val="006420A0"/>
    <w:rsid w:val="00650F40"/>
    <w:rsid w:val="00651E9F"/>
    <w:rsid w:val="00667240"/>
    <w:rsid w:val="0067141A"/>
    <w:rsid w:val="00676871"/>
    <w:rsid w:val="00685073"/>
    <w:rsid w:val="00687D1A"/>
    <w:rsid w:val="00690EA6"/>
    <w:rsid w:val="0069354E"/>
    <w:rsid w:val="0069602A"/>
    <w:rsid w:val="00697705"/>
    <w:rsid w:val="006A0AAF"/>
    <w:rsid w:val="006A24AE"/>
    <w:rsid w:val="006A3141"/>
    <w:rsid w:val="006A6665"/>
    <w:rsid w:val="006B193F"/>
    <w:rsid w:val="006D22AC"/>
    <w:rsid w:val="006E2CFC"/>
    <w:rsid w:val="006E7090"/>
    <w:rsid w:val="006F000E"/>
    <w:rsid w:val="006F4203"/>
    <w:rsid w:val="006F58D7"/>
    <w:rsid w:val="0070127F"/>
    <w:rsid w:val="007033E2"/>
    <w:rsid w:val="0070422F"/>
    <w:rsid w:val="00704DFF"/>
    <w:rsid w:val="007065AA"/>
    <w:rsid w:val="00706F78"/>
    <w:rsid w:val="00707972"/>
    <w:rsid w:val="00711DB1"/>
    <w:rsid w:val="00713226"/>
    <w:rsid w:val="00714D0C"/>
    <w:rsid w:val="0072013B"/>
    <w:rsid w:val="007208A8"/>
    <w:rsid w:val="00720D34"/>
    <w:rsid w:val="007221B2"/>
    <w:rsid w:val="007269C2"/>
    <w:rsid w:val="0073006D"/>
    <w:rsid w:val="00734CCD"/>
    <w:rsid w:val="00740277"/>
    <w:rsid w:val="0075680F"/>
    <w:rsid w:val="007574F4"/>
    <w:rsid w:val="00767B6E"/>
    <w:rsid w:val="00777116"/>
    <w:rsid w:val="00777931"/>
    <w:rsid w:val="00783193"/>
    <w:rsid w:val="00784406"/>
    <w:rsid w:val="00785AA1"/>
    <w:rsid w:val="00785EE2"/>
    <w:rsid w:val="00791FBD"/>
    <w:rsid w:val="007978F2"/>
    <w:rsid w:val="007B01C6"/>
    <w:rsid w:val="007B0816"/>
    <w:rsid w:val="007B2C92"/>
    <w:rsid w:val="007B41F3"/>
    <w:rsid w:val="007B7251"/>
    <w:rsid w:val="007B72EE"/>
    <w:rsid w:val="007C3088"/>
    <w:rsid w:val="007C3700"/>
    <w:rsid w:val="007C42F3"/>
    <w:rsid w:val="007C59C2"/>
    <w:rsid w:val="007D093E"/>
    <w:rsid w:val="007D2067"/>
    <w:rsid w:val="007D2998"/>
    <w:rsid w:val="007D4EED"/>
    <w:rsid w:val="007D5458"/>
    <w:rsid w:val="007E1EE2"/>
    <w:rsid w:val="007E318E"/>
    <w:rsid w:val="007E3864"/>
    <w:rsid w:val="007E3D62"/>
    <w:rsid w:val="007F28C0"/>
    <w:rsid w:val="0080242B"/>
    <w:rsid w:val="00803EA0"/>
    <w:rsid w:val="00813218"/>
    <w:rsid w:val="0081707D"/>
    <w:rsid w:val="0082068F"/>
    <w:rsid w:val="00820782"/>
    <w:rsid w:val="008208C4"/>
    <w:rsid w:val="00820D07"/>
    <w:rsid w:val="00831BB5"/>
    <w:rsid w:val="00832CC3"/>
    <w:rsid w:val="00836B7A"/>
    <w:rsid w:val="008470D0"/>
    <w:rsid w:val="008472A6"/>
    <w:rsid w:val="00853B2F"/>
    <w:rsid w:val="00853DA3"/>
    <w:rsid w:val="008542D0"/>
    <w:rsid w:val="008545F6"/>
    <w:rsid w:val="00860493"/>
    <w:rsid w:val="00864699"/>
    <w:rsid w:val="00865D66"/>
    <w:rsid w:val="00867FB4"/>
    <w:rsid w:val="0087337C"/>
    <w:rsid w:val="008847CE"/>
    <w:rsid w:val="008879CF"/>
    <w:rsid w:val="008A3A1E"/>
    <w:rsid w:val="008A5AD3"/>
    <w:rsid w:val="008A63E3"/>
    <w:rsid w:val="008B0819"/>
    <w:rsid w:val="008B2DFF"/>
    <w:rsid w:val="008B4C3A"/>
    <w:rsid w:val="008B5221"/>
    <w:rsid w:val="008B6F5B"/>
    <w:rsid w:val="008C090C"/>
    <w:rsid w:val="008C18BD"/>
    <w:rsid w:val="008D3393"/>
    <w:rsid w:val="008D376A"/>
    <w:rsid w:val="008D65FF"/>
    <w:rsid w:val="008D6D95"/>
    <w:rsid w:val="008E15D6"/>
    <w:rsid w:val="008E33E0"/>
    <w:rsid w:val="008F0581"/>
    <w:rsid w:val="008F146F"/>
    <w:rsid w:val="008F72E3"/>
    <w:rsid w:val="00903DBF"/>
    <w:rsid w:val="00910DD0"/>
    <w:rsid w:val="009114DA"/>
    <w:rsid w:val="009163F9"/>
    <w:rsid w:val="00921762"/>
    <w:rsid w:val="009233E2"/>
    <w:rsid w:val="00927EE7"/>
    <w:rsid w:val="00930396"/>
    <w:rsid w:val="00931159"/>
    <w:rsid w:val="00931D98"/>
    <w:rsid w:val="00937DC6"/>
    <w:rsid w:val="00945C03"/>
    <w:rsid w:val="009638E6"/>
    <w:rsid w:val="00963945"/>
    <w:rsid w:val="00972D30"/>
    <w:rsid w:val="00980729"/>
    <w:rsid w:val="009902F9"/>
    <w:rsid w:val="00991B84"/>
    <w:rsid w:val="009969C8"/>
    <w:rsid w:val="009A035F"/>
    <w:rsid w:val="009A2F4D"/>
    <w:rsid w:val="009B1B4B"/>
    <w:rsid w:val="009B26C0"/>
    <w:rsid w:val="009B513C"/>
    <w:rsid w:val="009B637F"/>
    <w:rsid w:val="009C747E"/>
    <w:rsid w:val="009C7602"/>
    <w:rsid w:val="009D408D"/>
    <w:rsid w:val="009E1445"/>
    <w:rsid w:val="009E447D"/>
    <w:rsid w:val="009E50BD"/>
    <w:rsid w:val="009E65FD"/>
    <w:rsid w:val="009F2AE0"/>
    <w:rsid w:val="009F5584"/>
    <w:rsid w:val="00A147D7"/>
    <w:rsid w:val="00A152B3"/>
    <w:rsid w:val="00A154B6"/>
    <w:rsid w:val="00A16BDC"/>
    <w:rsid w:val="00A1739D"/>
    <w:rsid w:val="00A23619"/>
    <w:rsid w:val="00A23698"/>
    <w:rsid w:val="00A23ACE"/>
    <w:rsid w:val="00A26062"/>
    <w:rsid w:val="00A26FDD"/>
    <w:rsid w:val="00A2792E"/>
    <w:rsid w:val="00A27F39"/>
    <w:rsid w:val="00A46C1A"/>
    <w:rsid w:val="00A5278D"/>
    <w:rsid w:val="00A5534F"/>
    <w:rsid w:val="00A553ED"/>
    <w:rsid w:val="00A57A80"/>
    <w:rsid w:val="00A607D2"/>
    <w:rsid w:val="00A61E8A"/>
    <w:rsid w:val="00A62C78"/>
    <w:rsid w:val="00A65A8D"/>
    <w:rsid w:val="00A72BA3"/>
    <w:rsid w:val="00A76827"/>
    <w:rsid w:val="00A77EA9"/>
    <w:rsid w:val="00A830F7"/>
    <w:rsid w:val="00A865D8"/>
    <w:rsid w:val="00A92032"/>
    <w:rsid w:val="00A93A1B"/>
    <w:rsid w:val="00A94729"/>
    <w:rsid w:val="00A96D8C"/>
    <w:rsid w:val="00AA1AD0"/>
    <w:rsid w:val="00AB2CCB"/>
    <w:rsid w:val="00AC2A99"/>
    <w:rsid w:val="00AC436D"/>
    <w:rsid w:val="00AD442C"/>
    <w:rsid w:val="00AD5795"/>
    <w:rsid w:val="00AE3CCA"/>
    <w:rsid w:val="00AE5E64"/>
    <w:rsid w:val="00AE6302"/>
    <w:rsid w:val="00AE6C0E"/>
    <w:rsid w:val="00AF1E5C"/>
    <w:rsid w:val="00AF442B"/>
    <w:rsid w:val="00AF78E9"/>
    <w:rsid w:val="00AF79C0"/>
    <w:rsid w:val="00B035F4"/>
    <w:rsid w:val="00B15B59"/>
    <w:rsid w:val="00B2239D"/>
    <w:rsid w:val="00B24E7A"/>
    <w:rsid w:val="00B271A1"/>
    <w:rsid w:val="00B333B4"/>
    <w:rsid w:val="00B3469D"/>
    <w:rsid w:val="00B431C8"/>
    <w:rsid w:val="00B51045"/>
    <w:rsid w:val="00B53C2F"/>
    <w:rsid w:val="00B56DB5"/>
    <w:rsid w:val="00B766BC"/>
    <w:rsid w:val="00B857E1"/>
    <w:rsid w:val="00B91075"/>
    <w:rsid w:val="00B91BEB"/>
    <w:rsid w:val="00B92148"/>
    <w:rsid w:val="00B92B91"/>
    <w:rsid w:val="00B946BD"/>
    <w:rsid w:val="00B97B90"/>
    <w:rsid w:val="00BA341E"/>
    <w:rsid w:val="00BA408E"/>
    <w:rsid w:val="00BA70DC"/>
    <w:rsid w:val="00BA7288"/>
    <w:rsid w:val="00BB24D5"/>
    <w:rsid w:val="00BB42F4"/>
    <w:rsid w:val="00BB6623"/>
    <w:rsid w:val="00BB70BA"/>
    <w:rsid w:val="00BC1330"/>
    <w:rsid w:val="00BC1F11"/>
    <w:rsid w:val="00BC2357"/>
    <w:rsid w:val="00BD079B"/>
    <w:rsid w:val="00BD5083"/>
    <w:rsid w:val="00BF1664"/>
    <w:rsid w:val="00BF2B46"/>
    <w:rsid w:val="00BF2DEB"/>
    <w:rsid w:val="00BF4117"/>
    <w:rsid w:val="00C059B9"/>
    <w:rsid w:val="00C15CAA"/>
    <w:rsid w:val="00C16850"/>
    <w:rsid w:val="00C20F1A"/>
    <w:rsid w:val="00C22C0C"/>
    <w:rsid w:val="00C464A0"/>
    <w:rsid w:val="00C47C5E"/>
    <w:rsid w:val="00C52C77"/>
    <w:rsid w:val="00C57C38"/>
    <w:rsid w:val="00C6751B"/>
    <w:rsid w:val="00C74D7C"/>
    <w:rsid w:val="00C75293"/>
    <w:rsid w:val="00C842CA"/>
    <w:rsid w:val="00C85295"/>
    <w:rsid w:val="00C93A8B"/>
    <w:rsid w:val="00C96F3C"/>
    <w:rsid w:val="00CA4012"/>
    <w:rsid w:val="00CA7E61"/>
    <w:rsid w:val="00CB1DED"/>
    <w:rsid w:val="00CB37AE"/>
    <w:rsid w:val="00CB60F2"/>
    <w:rsid w:val="00CB771C"/>
    <w:rsid w:val="00CC1751"/>
    <w:rsid w:val="00CC3721"/>
    <w:rsid w:val="00CC6E33"/>
    <w:rsid w:val="00CD7B56"/>
    <w:rsid w:val="00CE3229"/>
    <w:rsid w:val="00CE57B2"/>
    <w:rsid w:val="00CF1C51"/>
    <w:rsid w:val="00CF58B0"/>
    <w:rsid w:val="00CF631D"/>
    <w:rsid w:val="00CF6F73"/>
    <w:rsid w:val="00D04C06"/>
    <w:rsid w:val="00D15DED"/>
    <w:rsid w:val="00D16C62"/>
    <w:rsid w:val="00D17EAE"/>
    <w:rsid w:val="00D33568"/>
    <w:rsid w:val="00D339BD"/>
    <w:rsid w:val="00D3472B"/>
    <w:rsid w:val="00D37822"/>
    <w:rsid w:val="00D37FE4"/>
    <w:rsid w:val="00D4051D"/>
    <w:rsid w:val="00D41E00"/>
    <w:rsid w:val="00D4671E"/>
    <w:rsid w:val="00D5326D"/>
    <w:rsid w:val="00D61502"/>
    <w:rsid w:val="00D61682"/>
    <w:rsid w:val="00D7341B"/>
    <w:rsid w:val="00D77450"/>
    <w:rsid w:val="00D84913"/>
    <w:rsid w:val="00D84AC8"/>
    <w:rsid w:val="00D8679C"/>
    <w:rsid w:val="00D870FE"/>
    <w:rsid w:val="00D975E1"/>
    <w:rsid w:val="00DA019E"/>
    <w:rsid w:val="00DA2710"/>
    <w:rsid w:val="00DA53AB"/>
    <w:rsid w:val="00DB128B"/>
    <w:rsid w:val="00DB2911"/>
    <w:rsid w:val="00DB550B"/>
    <w:rsid w:val="00DB5B9E"/>
    <w:rsid w:val="00DC0B1D"/>
    <w:rsid w:val="00DC56E2"/>
    <w:rsid w:val="00DC68E2"/>
    <w:rsid w:val="00DD35F3"/>
    <w:rsid w:val="00DE0331"/>
    <w:rsid w:val="00DE1E3D"/>
    <w:rsid w:val="00DE39B3"/>
    <w:rsid w:val="00DE66CD"/>
    <w:rsid w:val="00DF0B8F"/>
    <w:rsid w:val="00DF2C1C"/>
    <w:rsid w:val="00DF569B"/>
    <w:rsid w:val="00DF7FFD"/>
    <w:rsid w:val="00E07EBF"/>
    <w:rsid w:val="00E07F12"/>
    <w:rsid w:val="00E110A3"/>
    <w:rsid w:val="00E2656F"/>
    <w:rsid w:val="00E313D8"/>
    <w:rsid w:val="00E34B78"/>
    <w:rsid w:val="00E35EF2"/>
    <w:rsid w:val="00E563C5"/>
    <w:rsid w:val="00E623B3"/>
    <w:rsid w:val="00E64B2C"/>
    <w:rsid w:val="00E64CAE"/>
    <w:rsid w:val="00E66BA2"/>
    <w:rsid w:val="00E67C29"/>
    <w:rsid w:val="00E730E5"/>
    <w:rsid w:val="00E75147"/>
    <w:rsid w:val="00E9506A"/>
    <w:rsid w:val="00E973C1"/>
    <w:rsid w:val="00EA1E53"/>
    <w:rsid w:val="00EA5903"/>
    <w:rsid w:val="00EA61F5"/>
    <w:rsid w:val="00EB2917"/>
    <w:rsid w:val="00EB3622"/>
    <w:rsid w:val="00EC2BB0"/>
    <w:rsid w:val="00EC2C1A"/>
    <w:rsid w:val="00EC33B5"/>
    <w:rsid w:val="00EC497B"/>
    <w:rsid w:val="00EC4A8E"/>
    <w:rsid w:val="00EC4D40"/>
    <w:rsid w:val="00EC5FC4"/>
    <w:rsid w:val="00ED0B0C"/>
    <w:rsid w:val="00ED2B45"/>
    <w:rsid w:val="00ED3735"/>
    <w:rsid w:val="00EE2D6E"/>
    <w:rsid w:val="00EE4E44"/>
    <w:rsid w:val="00EF589E"/>
    <w:rsid w:val="00EF6A41"/>
    <w:rsid w:val="00EF77E0"/>
    <w:rsid w:val="00F012AF"/>
    <w:rsid w:val="00F03CDD"/>
    <w:rsid w:val="00F121EA"/>
    <w:rsid w:val="00F13065"/>
    <w:rsid w:val="00F13807"/>
    <w:rsid w:val="00F15783"/>
    <w:rsid w:val="00F26784"/>
    <w:rsid w:val="00F27331"/>
    <w:rsid w:val="00F441C0"/>
    <w:rsid w:val="00F462DB"/>
    <w:rsid w:val="00F504CE"/>
    <w:rsid w:val="00F51281"/>
    <w:rsid w:val="00F52244"/>
    <w:rsid w:val="00F52656"/>
    <w:rsid w:val="00F53867"/>
    <w:rsid w:val="00F72B5E"/>
    <w:rsid w:val="00F769B0"/>
    <w:rsid w:val="00F80D4E"/>
    <w:rsid w:val="00F8147E"/>
    <w:rsid w:val="00F82AE1"/>
    <w:rsid w:val="00F82ED3"/>
    <w:rsid w:val="00F868DF"/>
    <w:rsid w:val="00F86D23"/>
    <w:rsid w:val="00F90BF9"/>
    <w:rsid w:val="00F91862"/>
    <w:rsid w:val="00F91BC6"/>
    <w:rsid w:val="00F932E5"/>
    <w:rsid w:val="00FA240A"/>
    <w:rsid w:val="00FA44EA"/>
    <w:rsid w:val="00FA4787"/>
    <w:rsid w:val="00FA5ABE"/>
    <w:rsid w:val="00FB1A07"/>
    <w:rsid w:val="00FB257B"/>
    <w:rsid w:val="00FB74C0"/>
    <w:rsid w:val="00FC1265"/>
    <w:rsid w:val="00FC444C"/>
    <w:rsid w:val="00FC4848"/>
    <w:rsid w:val="00FC51C3"/>
    <w:rsid w:val="00FC6309"/>
    <w:rsid w:val="00FC6B4B"/>
    <w:rsid w:val="00FD210C"/>
    <w:rsid w:val="00FD2ABF"/>
    <w:rsid w:val="00FD391A"/>
    <w:rsid w:val="00FE3ABC"/>
    <w:rsid w:val="00FF0402"/>
    <w:rsid w:val="00FF3578"/>
    <w:rsid w:val="00FF6FEF"/>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C7AA33"/>
  <w15:docId w15:val="{76674BBF-AA34-904F-8DB7-1EC5DBB63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emiHidden/>
    <w:qFormat/>
    <w:rsid w:val="00BA70DC"/>
    <w:pPr>
      <w:widowControl w:val="0"/>
    </w:pPr>
    <w:rPr>
      <w:noProof/>
      <w:sz w:val="22"/>
      <w:szCs w:val="22"/>
      <w:lang w:eastAsia="zh-TW"/>
    </w:rPr>
  </w:style>
  <w:style w:type="paragraph" w:styleId="Titolo1">
    <w:name w:val="heading 1"/>
    <w:basedOn w:val="Normale"/>
    <w:next w:val="Normale"/>
    <w:link w:val="Titolo1Carattere"/>
    <w:uiPriority w:val="1"/>
    <w:qFormat/>
    <w:rsid w:val="001B6603"/>
    <w:pPr>
      <w:keepNext/>
      <w:spacing w:before="240" w:after="60"/>
      <w:outlineLvl w:val="0"/>
    </w:pPr>
    <w:rPr>
      <w:rFonts w:ascii="Calibri Light" w:hAnsi="Calibri Light"/>
      <w:b/>
      <w:bCs/>
      <w:kern w:val="32"/>
      <w:sz w:val="32"/>
      <w:szCs w:val="32"/>
    </w:rPr>
  </w:style>
  <w:style w:type="paragraph" w:styleId="Titolo2">
    <w:name w:val="heading 2"/>
    <w:basedOn w:val="Normale"/>
    <w:next w:val="Normale"/>
    <w:link w:val="Titolo2Carattere"/>
    <w:uiPriority w:val="9"/>
    <w:qFormat/>
    <w:rsid w:val="008A5AD3"/>
    <w:pPr>
      <w:keepNext/>
      <w:keepLines/>
      <w:spacing w:before="200"/>
      <w:jc w:val="both"/>
      <w:outlineLvl w:val="1"/>
    </w:pPr>
    <w:rPr>
      <w:rFonts w:ascii="Calibri Light" w:hAnsi="Calibri Light"/>
      <w:b/>
      <w:bCs/>
      <w:noProof w:val="0"/>
      <w:color w:val="4472C4"/>
      <w:sz w:val="26"/>
      <w:szCs w:val="26"/>
      <w:lang w:eastAsia="it-IT"/>
    </w:rPr>
  </w:style>
  <w:style w:type="paragraph" w:styleId="Titolo3">
    <w:name w:val="heading 3"/>
    <w:basedOn w:val="Normale"/>
    <w:next w:val="Normale"/>
    <w:link w:val="Titolo3Carattere"/>
    <w:uiPriority w:val="99"/>
    <w:qFormat/>
    <w:rsid w:val="00CC6E33"/>
    <w:pPr>
      <w:keepNext/>
      <w:spacing w:before="240" w:after="60"/>
      <w:ind w:firstLine="284"/>
      <w:jc w:val="both"/>
      <w:outlineLvl w:val="2"/>
    </w:pPr>
    <w:rPr>
      <w:rFonts w:ascii="Arial" w:eastAsia="Times New Roman" w:hAnsi="Arial" w:cs="Arial"/>
      <w:b/>
      <w:bCs/>
      <w:noProof w:val="0"/>
      <w:sz w:val="26"/>
      <w:szCs w:val="26"/>
      <w:lang w:eastAsia="it-IT"/>
    </w:rPr>
  </w:style>
  <w:style w:type="paragraph" w:styleId="Titolo4">
    <w:name w:val="heading 4"/>
    <w:basedOn w:val="Normale"/>
    <w:link w:val="Titolo4Carattere"/>
    <w:uiPriority w:val="99"/>
    <w:qFormat/>
    <w:rsid w:val="00CC6E33"/>
    <w:pPr>
      <w:spacing w:before="100" w:beforeAutospacing="1" w:after="100" w:afterAutospacing="1"/>
      <w:ind w:firstLine="284"/>
      <w:jc w:val="both"/>
      <w:outlineLvl w:val="3"/>
    </w:pPr>
    <w:rPr>
      <w:rFonts w:ascii="Arial Unicode MS" w:eastAsia="Arial Unicode MS" w:hAnsi="Arial Unicode MS" w:cs="Arial Unicode MS"/>
      <w:b/>
      <w:bCs/>
      <w:noProof w:val="0"/>
      <w:sz w:val="24"/>
      <w:szCs w:val="24"/>
      <w:lang w:eastAsia="it-IT"/>
    </w:rPr>
  </w:style>
  <w:style w:type="paragraph" w:styleId="Titolo5">
    <w:name w:val="heading 5"/>
    <w:basedOn w:val="Normale"/>
    <w:next w:val="Normale"/>
    <w:link w:val="Titolo5Carattere"/>
    <w:uiPriority w:val="99"/>
    <w:qFormat/>
    <w:rsid w:val="008A5AD3"/>
    <w:pPr>
      <w:keepNext/>
      <w:keepLines/>
      <w:spacing w:before="200" w:line="259" w:lineRule="auto"/>
      <w:outlineLvl w:val="4"/>
    </w:pPr>
    <w:rPr>
      <w:rFonts w:ascii="Calibri Light" w:hAnsi="Calibri Light"/>
      <w:noProof w:val="0"/>
      <w:color w:val="1F3763"/>
      <w:lang w:eastAsia="en-US"/>
    </w:rPr>
  </w:style>
  <w:style w:type="paragraph" w:styleId="Titolo6">
    <w:name w:val="heading 6"/>
    <w:basedOn w:val="Normale"/>
    <w:link w:val="Titolo6Carattere"/>
    <w:qFormat/>
    <w:rsid w:val="00CC6E33"/>
    <w:pPr>
      <w:spacing w:after="240"/>
      <w:ind w:left="3600" w:hanging="720"/>
      <w:jc w:val="both"/>
      <w:outlineLvl w:val="5"/>
    </w:pPr>
    <w:rPr>
      <w:rFonts w:ascii="Book Antiqua" w:eastAsia="Times New Roman" w:hAnsi="Book Antiqua" w:cs="Courier New"/>
      <w:bCs/>
      <w:noProof w:val="0"/>
      <w:color w:val="000000"/>
      <w:sz w:val="24"/>
      <w:szCs w:val="23"/>
      <w:lang w:eastAsia="it-IT"/>
    </w:rPr>
  </w:style>
  <w:style w:type="paragraph" w:styleId="Titolo7">
    <w:name w:val="heading 7"/>
    <w:basedOn w:val="Normale"/>
    <w:link w:val="Titolo7Carattere"/>
    <w:qFormat/>
    <w:rsid w:val="00CC6E33"/>
    <w:pPr>
      <w:spacing w:after="240"/>
      <w:ind w:left="3600" w:hanging="720"/>
      <w:jc w:val="both"/>
      <w:outlineLvl w:val="6"/>
    </w:pPr>
    <w:rPr>
      <w:rFonts w:ascii="Book Antiqua" w:eastAsia="Times New Roman" w:hAnsi="Book Antiqua" w:cs="Courier New"/>
      <w:noProof w:val="0"/>
      <w:color w:val="000000"/>
      <w:sz w:val="24"/>
      <w:szCs w:val="24"/>
      <w:lang w:eastAsia="it-IT"/>
    </w:rPr>
  </w:style>
  <w:style w:type="paragraph" w:styleId="Titolo8">
    <w:name w:val="heading 8"/>
    <w:basedOn w:val="Normale"/>
    <w:link w:val="Titolo8Carattere"/>
    <w:qFormat/>
    <w:rsid w:val="00CC6E33"/>
    <w:pPr>
      <w:spacing w:after="240"/>
      <w:ind w:firstLine="284"/>
      <w:jc w:val="both"/>
      <w:outlineLvl w:val="7"/>
    </w:pPr>
    <w:rPr>
      <w:rFonts w:ascii="Book Antiqua" w:eastAsia="Times New Roman" w:hAnsi="Book Antiqua" w:cs="Courier New"/>
      <w:iCs/>
      <w:noProof w:val="0"/>
      <w:color w:val="000000"/>
      <w:sz w:val="24"/>
      <w:szCs w:val="24"/>
      <w:lang w:eastAsia="it-IT"/>
    </w:rPr>
  </w:style>
  <w:style w:type="paragraph" w:styleId="Titolo9">
    <w:name w:val="heading 9"/>
    <w:basedOn w:val="Normale"/>
    <w:link w:val="Titolo9Carattere"/>
    <w:qFormat/>
    <w:rsid w:val="00CC6E33"/>
    <w:pPr>
      <w:spacing w:after="240"/>
      <w:ind w:firstLine="284"/>
      <w:jc w:val="both"/>
      <w:outlineLvl w:val="8"/>
    </w:pPr>
    <w:rPr>
      <w:rFonts w:ascii="Book Antiqua" w:eastAsia="Times New Roman" w:hAnsi="Book Antiqua" w:cs="Courier New"/>
      <w:noProof w:val="0"/>
      <w:color w:val="000000"/>
      <w:sz w:val="24"/>
      <w:szCs w:val="23"/>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Menzionenonrisolta1">
    <w:name w:val="Menzione non risolta1"/>
    <w:basedOn w:val="Carpredefinitoparagrafo"/>
    <w:uiPriority w:val="99"/>
    <w:semiHidden/>
    <w:unhideWhenUsed/>
    <w:rsid w:val="002C4301"/>
    <w:rPr>
      <w:color w:val="605E5C"/>
      <w:shd w:val="clear" w:color="auto" w:fill="E1DFDD"/>
    </w:rPr>
  </w:style>
  <w:style w:type="paragraph" w:customStyle="1" w:styleId="Paragrafo">
    <w:name w:val="Paragrafo"/>
    <w:link w:val="ParagrafoCarattere"/>
    <w:uiPriority w:val="99"/>
    <w:qFormat/>
    <w:rsid w:val="001034F3"/>
    <w:pPr>
      <w:keepNext/>
      <w:spacing w:before="625" w:after="375" w:line="290" w:lineRule="exact"/>
      <w:ind w:left="284" w:hanging="284"/>
      <w:jc w:val="both"/>
    </w:pPr>
    <w:rPr>
      <w:rFonts w:ascii="Simoncini Garamond Std" w:eastAsia="Times New Roman" w:hAnsi="Simoncini Garamond Std" w:cs="Friz Quadrata"/>
      <w:bCs/>
      <w:smallCaps/>
      <w:sz w:val="24"/>
      <w:szCs w:val="25"/>
    </w:rPr>
  </w:style>
  <w:style w:type="character" w:styleId="Numeropagina">
    <w:name w:val="page number"/>
    <w:qFormat/>
    <w:rsid w:val="001B6603"/>
    <w:rPr>
      <w:rFonts w:cs="Times New Roman"/>
    </w:rPr>
  </w:style>
  <w:style w:type="paragraph" w:styleId="Testonotaapidipagina">
    <w:name w:val="footnote text"/>
    <w:link w:val="TestonotaapidipaginaCarattere"/>
    <w:qFormat/>
    <w:rsid w:val="00487D01"/>
    <w:pPr>
      <w:widowControl w:val="0"/>
      <w:spacing w:before="60" w:line="206" w:lineRule="exact"/>
      <w:ind w:firstLine="284"/>
      <w:jc w:val="both"/>
    </w:pPr>
    <w:rPr>
      <w:rFonts w:ascii="Simoncini Garamond Std" w:eastAsia="Times New Roman" w:hAnsi="Simoncini Garamond Std"/>
      <w:sz w:val="18"/>
      <w:szCs w:val="19"/>
    </w:rPr>
  </w:style>
  <w:style w:type="character" w:customStyle="1" w:styleId="TestonotaapidipaginaCarattere">
    <w:name w:val="Testo nota a piè di pagina Carattere"/>
    <w:link w:val="Testonotaapidipagina"/>
    <w:qFormat/>
    <w:rsid w:val="00487D01"/>
    <w:rPr>
      <w:rFonts w:ascii="Simoncini Garamond Std" w:eastAsia="Times New Roman" w:hAnsi="Simoncini Garamond Std"/>
      <w:sz w:val="18"/>
      <w:szCs w:val="19"/>
    </w:rPr>
  </w:style>
  <w:style w:type="character" w:styleId="Rimandonotaapidipagina">
    <w:name w:val="footnote reference"/>
    <w:semiHidden/>
    <w:qFormat/>
    <w:rsid w:val="001B6603"/>
    <w:rPr>
      <w:rFonts w:cs="Times New Roman"/>
      <w:vertAlign w:val="superscript"/>
    </w:rPr>
  </w:style>
  <w:style w:type="paragraph" w:customStyle="1" w:styleId="Capoverso">
    <w:name w:val="Capoverso"/>
    <w:link w:val="CapoversoCarattere"/>
    <w:uiPriority w:val="99"/>
    <w:rsid w:val="00487D01"/>
    <w:pPr>
      <w:widowControl w:val="0"/>
      <w:spacing w:line="252" w:lineRule="exact"/>
      <w:ind w:firstLine="284"/>
      <w:jc w:val="both"/>
    </w:pPr>
    <w:rPr>
      <w:rFonts w:ascii="Simoncini Garamond Std" w:eastAsia="Times New Roman" w:hAnsi="Simoncini Garamond Std"/>
      <w:sz w:val="22"/>
      <w:szCs w:val="22"/>
    </w:rPr>
  </w:style>
  <w:style w:type="paragraph" w:customStyle="1" w:styleId="TitolodelCapitolo">
    <w:name w:val="Titolo del Capitolo"/>
    <w:qFormat/>
    <w:rsid w:val="00A553ED"/>
    <w:pPr>
      <w:widowControl w:val="0"/>
      <w:spacing w:line="320" w:lineRule="exact"/>
      <w:jc w:val="center"/>
    </w:pPr>
    <w:rPr>
      <w:rFonts w:ascii="Simoncini Garamond Std" w:eastAsia="MS Mincho" w:hAnsi="Simoncini Garamond Std"/>
      <w:b/>
      <w:caps/>
      <w:sz w:val="28"/>
      <w:szCs w:val="28"/>
    </w:rPr>
  </w:style>
  <w:style w:type="paragraph" w:customStyle="1" w:styleId="Sommario">
    <w:name w:val="Sommario"/>
    <w:uiPriority w:val="99"/>
    <w:rsid w:val="0059712B"/>
    <w:pPr>
      <w:widowControl w:val="0"/>
      <w:spacing w:before="500" w:after="750" w:line="222" w:lineRule="exact"/>
      <w:ind w:left="284" w:hanging="284"/>
      <w:jc w:val="both"/>
    </w:pPr>
    <w:rPr>
      <w:rFonts w:ascii="Simoncini Garamond Std" w:eastAsia="Times New Roman" w:hAnsi="Simoncini Garamond Std"/>
      <w:sz w:val="19"/>
      <w:szCs w:val="19"/>
    </w:rPr>
  </w:style>
  <w:style w:type="paragraph" w:styleId="Intestazione">
    <w:name w:val="header"/>
    <w:link w:val="IntestazioneCarattere"/>
    <w:semiHidden/>
    <w:qFormat/>
    <w:rsid w:val="00D870FE"/>
    <w:pPr>
      <w:tabs>
        <w:tab w:val="center" w:pos="3629"/>
        <w:tab w:val="right" w:pos="7258"/>
      </w:tabs>
      <w:spacing w:line="240" w:lineRule="exact"/>
    </w:pPr>
    <w:rPr>
      <w:rFonts w:eastAsia="Times New Roman" w:cs="Calibri"/>
      <w:sz w:val="19"/>
    </w:rPr>
  </w:style>
  <w:style w:type="character" w:customStyle="1" w:styleId="IntestazioneCarattere">
    <w:name w:val="Intestazione Carattere"/>
    <w:link w:val="Intestazione"/>
    <w:semiHidden/>
    <w:rsid w:val="00BA70DC"/>
    <w:rPr>
      <w:rFonts w:eastAsia="Times New Roman" w:cs="Calibri"/>
      <w:sz w:val="19"/>
    </w:rPr>
  </w:style>
  <w:style w:type="paragraph" w:customStyle="1" w:styleId="DicituraCapitolo">
    <w:name w:val="Dicitura Capitolo"/>
    <w:uiPriority w:val="99"/>
    <w:rsid w:val="00F26784"/>
    <w:pPr>
      <w:widowControl w:val="0"/>
      <w:pBdr>
        <w:bottom w:val="single" w:sz="4" w:space="3" w:color="A6A6A6"/>
      </w:pBdr>
      <w:spacing w:before="1260" w:after="120" w:line="320" w:lineRule="exact"/>
      <w:jc w:val="center"/>
    </w:pPr>
    <w:rPr>
      <w:rFonts w:ascii="Simoncini Garamond Std" w:eastAsia="MS Mincho" w:hAnsi="Simoncini Garamond Std"/>
      <w:b/>
      <w:smallCaps/>
      <w:sz w:val="28"/>
      <w:szCs w:val="30"/>
    </w:rPr>
  </w:style>
  <w:style w:type="character" w:customStyle="1" w:styleId="Titolo1Carattere">
    <w:name w:val="Titolo 1 Carattere"/>
    <w:link w:val="Titolo1"/>
    <w:uiPriority w:val="1"/>
    <w:rsid w:val="00BA70DC"/>
    <w:rPr>
      <w:rFonts w:ascii="Calibri Light" w:hAnsi="Calibri Light"/>
      <w:b/>
      <w:bCs/>
      <w:noProof/>
      <w:kern w:val="32"/>
      <w:sz w:val="32"/>
      <w:szCs w:val="32"/>
      <w:lang w:eastAsia="zh-TW"/>
    </w:rPr>
  </w:style>
  <w:style w:type="paragraph" w:styleId="Pidipagina">
    <w:name w:val="footer"/>
    <w:basedOn w:val="Normale"/>
    <w:link w:val="PidipaginaCarattere"/>
    <w:uiPriority w:val="99"/>
    <w:semiHidden/>
    <w:qFormat/>
    <w:rsid w:val="001B6603"/>
    <w:pPr>
      <w:tabs>
        <w:tab w:val="center" w:pos="4819"/>
        <w:tab w:val="right" w:pos="9638"/>
      </w:tabs>
    </w:pPr>
  </w:style>
  <w:style w:type="character" w:customStyle="1" w:styleId="PidipaginaCarattere">
    <w:name w:val="Piè di pagina Carattere"/>
    <w:link w:val="Pidipagina"/>
    <w:uiPriority w:val="99"/>
    <w:semiHidden/>
    <w:rsid w:val="00BA70DC"/>
    <w:rPr>
      <w:noProof/>
      <w:sz w:val="22"/>
      <w:szCs w:val="22"/>
      <w:lang w:eastAsia="zh-TW"/>
    </w:rPr>
  </w:style>
  <w:style w:type="paragraph" w:customStyle="1" w:styleId="Sottoparagrafo">
    <w:name w:val="Sottoparagrafo"/>
    <w:link w:val="SottoparagrafoCarattere"/>
    <w:uiPriority w:val="99"/>
    <w:rsid w:val="005C3AD0"/>
    <w:pPr>
      <w:widowControl w:val="0"/>
      <w:spacing w:before="500" w:after="250" w:line="280" w:lineRule="exact"/>
      <w:ind w:left="284" w:hanging="284"/>
      <w:jc w:val="both"/>
    </w:pPr>
    <w:rPr>
      <w:rFonts w:ascii="Simoncini Garamond Std" w:eastAsia="Times New Roman" w:hAnsi="Simoncini Garamond Std" w:cs="Simoncini Garamond"/>
      <w:i/>
      <w:iCs/>
      <w:sz w:val="24"/>
      <w:szCs w:val="25"/>
    </w:rPr>
  </w:style>
  <w:style w:type="paragraph" w:customStyle="1" w:styleId="TitolodellaParte">
    <w:name w:val="Titolo della Parte"/>
    <w:next w:val="Normale"/>
    <w:qFormat/>
    <w:rsid w:val="000F75F2"/>
    <w:pPr>
      <w:widowControl w:val="0"/>
      <w:spacing w:line="320" w:lineRule="exact"/>
      <w:jc w:val="center"/>
    </w:pPr>
    <w:rPr>
      <w:rFonts w:ascii="Simoncini Garamond Std" w:eastAsia="MS Mincho" w:hAnsi="Simoncini Garamond Std"/>
      <w:caps/>
      <w:sz w:val="27"/>
      <w:szCs w:val="32"/>
    </w:rPr>
  </w:style>
  <w:style w:type="paragraph" w:customStyle="1" w:styleId="DicituraParte">
    <w:name w:val="Dicitura Parte"/>
    <w:qFormat/>
    <w:rsid w:val="000F75F2"/>
    <w:pPr>
      <w:widowControl w:val="0"/>
      <w:spacing w:before="750" w:after="120" w:line="300" w:lineRule="exact"/>
      <w:jc w:val="center"/>
    </w:pPr>
    <w:rPr>
      <w:rFonts w:ascii="Simoncini Garamond Std" w:eastAsia="MS Mincho" w:hAnsi="Simoncini Garamond Std"/>
      <w:smallCaps/>
      <w:sz w:val="27"/>
      <w:szCs w:val="30"/>
    </w:rPr>
  </w:style>
  <w:style w:type="paragraph" w:customStyle="1" w:styleId="Sottosottoparagrafo">
    <w:name w:val="Sottosottoparagrafo"/>
    <w:qFormat/>
    <w:rsid w:val="005C3AD0"/>
    <w:pPr>
      <w:widowControl w:val="0"/>
      <w:spacing w:before="375" w:after="125" w:line="260" w:lineRule="exact"/>
      <w:ind w:left="284" w:hanging="284"/>
      <w:jc w:val="both"/>
    </w:pPr>
    <w:rPr>
      <w:rFonts w:ascii="Simoncini Garamond Std" w:eastAsia="Times New Roman" w:hAnsi="Simoncini Garamond Std" w:cs="Friz Quadrata"/>
      <w:bCs/>
      <w:i/>
      <w:sz w:val="23"/>
      <w:szCs w:val="25"/>
    </w:rPr>
  </w:style>
  <w:style w:type="character" w:customStyle="1" w:styleId="Sommario-dicitura">
    <w:name w:val="Sommario - dicitura"/>
    <w:uiPriority w:val="1"/>
    <w:qFormat/>
    <w:rsid w:val="00D975E1"/>
    <w:rPr>
      <w:rFonts w:ascii="Simoncini Garamond Std" w:hAnsi="Simoncini Garamond Std"/>
      <w:b w:val="0"/>
      <w:i w:val="0"/>
      <w:caps w:val="0"/>
      <w:smallCaps/>
    </w:rPr>
  </w:style>
  <w:style w:type="character" w:customStyle="1" w:styleId="Titolo2Carattere">
    <w:name w:val="Titolo 2 Carattere"/>
    <w:link w:val="Titolo2"/>
    <w:uiPriority w:val="9"/>
    <w:rsid w:val="00BA70DC"/>
    <w:rPr>
      <w:rFonts w:ascii="Calibri Light" w:hAnsi="Calibri Light"/>
      <w:b/>
      <w:bCs/>
      <w:color w:val="4472C4"/>
      <w:sz w:val="26"/>
      <w:szCs w:val="26"/>
    </w:rPr>
  </w:style>
  <w:style w:type="character" w:customStyle="1" w:styleId="Titolo5Carattere">
    <w:name w:val="Titolo 5 Carattere"/>
    <w:link w:val="Titolo5"/>
    <w:uiPriority w:val="99"/>
    <w:rsid w:val="00BA70DC"/>
    <w:rPr>
      <w:rFonts w:ascii="Calibri Light" w:hAnsi="Calibri Light"/>
      <w:color w:val="1F3763"/>
      <w:sz w:val="22"/>
      <w:szCs w:val="22"/>
      <w:lang w:eastAsia="en-US"/>
    </w:rPr>
  </w:style>
  <w:style w:type="paragraph" w:styleId="Revisione">
    <w:name w:val="Revision"/>
    <w:hidden/>
    <w:uiPriority w:val="99"/>
    <w:rsid w:val="008A5AD3"/>
    <w:rPr>
      <w:rFonts w:ascii="Times" w:eastAsia="Times New Roman" w:hAnsi="Times"/>
      <w:sz w:val="22"/>
      <w:szCs w:val="24"/>
    </w:rPr>
  </w:style>
  <w:style w:type="paragraph" w:customStyle="1" w:styleId="Autore">
    <w:name w:val="Autore"/>
    <w:qFormat/>
    <w:rsid w:val="000F75F2"/>
    <w:pPr>
      <w:widowControl w:val="0"/>
      <w:tabs>
        <w:tab w:val="left" w:pos="8070"/>
      </w:tabs>
      <w:spacing w:before="250" w:line="300" w:lineRule="exact"/>
      <w:jc w:val="center"/>
    </w:pPr>
    <w:rPr>
      <w:rFonts w:ascii="Simoncini Garamond Std" w:hAnsi="Simoncini Garamond Std"/>
      <w:i/>
      <w:sz w:val="25"/>
      <w:szCs w:val="25"/>
      <w:lang w:eastAsia="zh-TW"/>
    </w:rPr>
  </w:style>
  <w:style w:type="paragraph" w:customStyle="1" w:styleId="Capoversospazioprima">
    <w:name w:val="Capoverso spazio prima"/>
    <w:qFormat/>
    <w:rsid w:val="00A553ED"/>
    <w:pPr>
      <w:spacing w:before="126" w:line="250" w:lineRule="exact"/>
      <w:ind w:firstLine="284"/>
      <w:jc w:val="both"/>
    </w:pPr>
    <w:rPr>
      <w:rFonts w:ascii="Simoncini Garamond Std" w:eastAsia="Times New Roman" w:hAnsi="Simoncini Garamond Std"/>
      <w:sz w:val="22"/>
      <w:szCs w:val="22"/>
    </w:rPr>
  </w:style>
  <w:style w:type="paragraph" w:customStyle="1" w:styleId="Capoversospaziodopo">
    <w:name w:val="Capoverso spazio dopo"/>
    <w:qFormat/>
    <w:rsid w:val="00A553ED"/>
    <w:pPr>
      <w:spacing w:after="126" w:line="250" w:lineRule="exact"/>
      <w:ind w:firstLine="284"/>
      <w:jc w:val="both"/>
    </w:pPr>
    <w:rPr>
      <w:rFonts w:ascii="Simoncini Garamond Std" w:eastAsia="Times New Roman" w:hAnsi="Simoncini Garamond Std"/>
      <w:sz w:val="22"/>
      <w:szCs w:val="22"/>
    </w:rPr>
  </w:style>
  <w:style w:type="paragraph" w:styleId="Bibliografia">
    <w:name w:val="Bibliography"/>
    <w:next w:val="Normale"/>
    <w:uiPriority w:val="37"/>
    <w:rsid w:val="003E7A05"/>
    <w:pPr>
      <w:spacing w:line="230" w:lineRule="exact"/>
      <w:ind w:firstLine="284"/>
      <w:jc w:val="both"/>
    </w:pPr>
    <w:rPr>
      <w:rFonts w:ascii="Simoncini Garamond Std" w:eastAsiaTheme="minorHAnsi" w:hAnsi="Simoncini Garamond Std" w:cstheme="minorBidi"/>
      <w:szCs w:val="22"/>
      <w:lang w:eastAsia="en-US"/>
    </w:rPr>
  </w:style>
  <w:style w:type="paragraph" w:customStyle="1" w:styleId="Autoriindice">
    <w:name w:val="Autori indice"/>
    <w:qFormat/>
    <w:rsid w:val="0070422F"/>
    <w:pPr>
      <w:spacing w:after="230" w:line="230" w:lineRule="exact"/>
      <w:ind w:left="284" w:hanging="284"/>
      <w:jc w:val="both"/>
    </w:pPr>
    <w:rPr>
      <w:rFonts w:ascii="Simoncini Garamond Std" w:eastAsiaTheme="minorHAnsi" w:hAnsi="Simoncini Garamond Std" w:cstheme="minorBidi"/>
      <w:szCs w:val="22"/>
      <w:lang w:eastAsia="en-US"/>
    </w:rPr>
  </w:style>
  <w:style w:type="paragraph" w:customStyle="1" w:styleId="Intermedio">
    <w:name w:val="Intermedio"/>
    <w:qFormat/>
    <w:rsid w:val="005C3AD0"/>
    <w:pPr>
      <w:spacing w:before="230" w:after="230" w:line="230" w:lineRule="exact"/>
      <w:ind w:left="284" w:firstLine="284"/>
      <w:jc w:val="both"/>
    </w:pPr>
    <w:rPr>
      <w:rFonts w:ascii="Simoncini Garamond Std" w:eastAsia="Times New Roman" w:hAnsi="Simoncini Garamond Std"/>
      <w:szCs w:val="22"/>
    </w:rPr>
  </w:style>
  <w:style w:type="paragraph" w:customStyle="1" w:styleId="TitolodellaSezione">
    <w:name w:val="Titolo della Sezione"/>
    <w:qFormat/>
    <w:rsid w:val="0015150E"/>
    <w:pPr>
      <w:spacing w:before="750" w:line="300" w:lineRule="exact"/>
      <w:jc w:val="center"/>
    </w:pPr>
    <w:rPr>
      <w:rFonts w:ascii="Simoncini Garamond Std" w:hAnsi="Simoncini Garamond Std"/>
      <w:smallCaps/>
      <w:noProof/>
      <w:sz w:val="27"/>
      <w:szCs w:val="22"/>
      <w:lang w:eastAsia="zh-TW"/>
    </w:rPr>
  </w:style>
  <w:style w:type="character" w:customStyle="1" w:styleId="Titolo3Carattere">
    <w:name w:val="Titolo 3 Carattere"/>
    <w:basedOn w:val="Carpredefinitoparagrafo"/>
    <w:link w:val="Titolo3"/>
    <w:uiPriority w:val="99"/>
    <w:rsid w:val="00BA70DC"/>
    <w:rPr>
      <w:rFonts w:ascii="Arial" w:eastAsia="Times New Roman" w:hAnsi="Arial" w:cs="Arial"/>
      <w:b/>
      <w:bCs/>
      <w:sz w:val="26"/>
      <w:szCs w:val="26"/>
    </w:rPr>
  </w:style>
  <w:style w:type="character" w:customStyle="1" w:styleId="Titolo4Carattere">
    <w:name w:val="Titolo 4 Carattere"/>
    <w:basedOn w:val="Carpredefinitoparagrafo"/>
    <w:link w:val="Titolo4"/>
    <w:uiPriority w:val="99"/>
    <w:rsid w:val="00BA70DC"/>
    <w:rPr>
      <w:rFonts w:ascii="Arial Unicode MS" w:eastAsia="Arial Unicode MS" w:hAnsi="Arial Unicode MS" w:cs="Arial Unicode MS"/>
      <w:b/>
      <w:bCs/>
      <w:sz w:val="24"/>
      <w:szCs w:val="24"/>
    </w:rPr>
  </w:style>
  <w:style w:type="character" w:customStyle="1" w:styleId="Titolo6Carattere">
    <w:name w:val="Titolo 6 Carattere"/>
    <w:basedOn w:val="Carpredefinitoparagrafo"/>
    <w:link w:val="Titolo6"/>
    <w:rsid w:val="00BA70DC"/>
    <w:rPr>
      <w:rFonts w:ascii="Book Antiqua" w:eastAsia="Times New Roman" w:hAnsi="Book Antiqua" w:cs="Courier New"/>
      <w:bCs/>
      <w:color w:val="000000"/>
      <w:sz w:val="24"/>
      <w:szCs w:val="23"/>
    </w:rPr>
  </w:style>
  <w:style w:type="character" w:customStyle="1" w:styleId="Titolo7Carattere">
    <w:name w:val="Titolo 7 Carattere"/>
    <w:basedOn w:val="Carpredefinitoparagrafo"/>
    <w:link w:val="Titolo7"/>
    <w:rsid w:val="00BA70DC"/>
    <w:rPr>
      <w:rFonts w:ascii="Book Antiqua" w:eastAsia="Times New Roman" w:hAnsi="Book Antiqua" w:cs="Courier New"/>
      <w:color w:val="000000"/>
      <w:sz w:val="24"/>
      <w:szCs w:val="24"/>
    </w:rPr>
  </w:style>
  <w:style w:type="character" w:customStyle="1" w:styleId="Titolo8Carattere">
    <w:name w:val="Titolo 8 Carattere"/>
    <w:basedOn w:val="Carpredefinitoparagrafo"/>
    <w:link w:val="Titolo8"/>
    <w:rsid w:val="00BA70DC"/>
    <w:rPr>
      <w:rFonts w:ascii="Book Antiqua" w:eastAsia="Times New Roman" w:hAnsi="Book Antiqua" w:cs="Courier New"/>
      <w:iCs/>
      <w:color w:val="000000"/>
      <w:sz w:val="24"/>
      <w:szCs w:val="24"/>
    </w:rPr>
  </w:style>
  <w:style w:type="character" w:customStyle="1" w:styleId="Titolo9Carattere">
    <w:name w:val="Titolo 9 Carattere"/>
    <w:basedOn w:val="Carpredefinitoparagrafo"/>
    <w:link w:val="Titolo9"/>
    <w:rsid w:val="00BA70DC"/>
    <w:rPr>
      <w:rFonts w:ascii="Book Antiqua" w:eastAsia="Times New Roman" w:hAnsi="Book Antiqua" w:cs="Courier New"/>
      <w:color w:val="000000"/>
      <w:sz w:val="24"/>
      <w:szCs w:val="23"/>
    </w:rPr>
  </w:style>
  <w:style w:type="character" w:customStyle="1" w:styleId="CapoversoCarattere">
    <w:name w:val="Capoverso Carattere"/>
    <w:link w:val="Capoverso"/>
    <w:uiPriority w:val="99"/>
    <w:rsid w:val="00487D01"/>
    <w:rPr>
      <w:rFonts w:ascii="Simoncini Garamond Std" w:eastAsia="Times New Roman" w:hAnsi="Simoncini Garamond Std"/>
      <w:sz w:val="22"/>
      <w:szCs w:val="22"/>
    </w:rPr>
  </w:style>
  <w:style w:type="table" w:styleId="Grigliatabella">
    <w:name w:val="Table Grid"/>
    <w:basedOn w:val="Tabellanormale"/>
    <w:uiPriority w:val="99"/>
    <w:rsid w:val="00CC6E3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oversorigabianca">
    <w:name w:val="Capoverso riga bianca"/>
    <w:basedOn w:val="Capoverso"/>
    <w:qFormat/>
    <w:rsid w:val="00CC6E33"/>
    <w:pPr>
      <w:spacing w:before="250" w:line="250" w:lineRule="exact"/>
    </w:pPr>
    <w:rPr>
      <w:rFonts w:cs="Courier New"/>
      <w:szCs w:val="23"/>
    </w:rPr>
  </w:style>
  <w:style w:type="character" w:customStyle="1" w:styleId="ParagrafoCarattere">
    <w:name w:val="Paragrafo Carattere"/>
    <w:link w:val="Paragrafo"/>
    <w:uiPriority w:val="99"/>
    <w:rsid w:val="001034F3"/>
    <w:rPr>
      <w:rFonts w:ascii="Simoncini Garamond Std" w:eastAsia="Times New Roman" w:hAnsi="Simoncini Garamond Std" w:cs="Friz Quadrata"/>
      <w:bCs/>
      <w:smallCaps/>
      <w:sz w:val="24"/>
      <w:szCs w:val="25"/>
    </w:rPr>
  </w:style>
  <w:style w:type="character" w:customStyle="1" w:styleId="SottoparagrafoCarattere">
    <w:name w:val="Sottoparagrafo Carattere"/>
    <w:link w:val="Sottoparagrafo"/>
    <w:rsid w:val="00CC6E33"/>
    <w:rPr>
      <w:rFonts w:ascii="Simoncini Garamond Std" w:eastAsia="Times New Roman" w:hAnsi="Simoncini Garamond Std" w:cs="Simoncini Garamond"/>
      <w:i/>
      <w:iCs/>
      <w:sz w:val="24"/>
      <w:szCs w:val="25"/>
    </w:rPr>
  </w:style>
  <w:style w:type="paragraph" w:customStyle="1" w:styleId="MediumList2-Accent21">
    <w:name w:val="Medium List 2 - Accent 21"/>
    <w:hidden/>
    <w:uiPriority w:val="99"/>
    <w:semiHidden/>
    <w:rsid w:val="00927EE7"/>
    <w:rPr>
      <w:rFonts w:ascii="Cambria" w:eastAsia="MS Mincho" w:hAnsi="Cambria"/>
      <w:sz w:val="21"/>
      <w:szCs w:val="21"/>
      <w:lang w:eastAsia="en-US"/>
    </w:rPr>
  </w:style>
  <w:style w:type="paragraph" w:customStyle="1" w:styleId="ColorfulShading-Accent11">
    <w:name w:val="Colorful Shading - Accent 11"/>
    <w:hidden/>
    <w:uiPriority w:val="71"/>
    <w:unhideWhenUsed/>
    <w:rsid w:val="00927EE7"/>
    <w:rPr>
      <w:rFonts w:ascii="Times New Roman" w:eastAsia="Times New Roman" w:hAnsi="Times New Roman"/>
      <w:sz w:val="24"/>
      <w:szCs w:val="24"/>
    </w:rPr>
  </w:style>
  <w:style w:type="paragraph" w:styleId="Testofumetto">
    <w:name w:val="Balloon Text"/>
    <w:basedOn w:val="Normale"/>
    <w:link w:val="TestofumettoCarattere"/>
    <w:uiPriority w:val="99"/>
    <w:semiHidden/>
    <w:unhideWhenUsed/>
    <w:rsid w:val="00475BAB"/>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75BAB"/>
    <w:rPr>
      <w:rFonts w:ascii="Segoe UI" w:hAnsi="Segoe UI" w:cs="Segoe UI"/>
      <w:noProof/>
      <w:sz w:val="18"/>
      <w:szCs w:val="18"/>
      <w:lang w:eastAsia="zh-TW"/>
    </w:rPr>
  </w:style>
  <w:style w:type="character" w:styleId="Rimandocommento">
    <w:name w:val="annotation reference"/>
    <w:basedOn w:val="Carpredefinitoparagrafo"/>
    <w:uiPriority w:val="99"/>
    <w:semiHidden/>
    <w:unhideWhenUsed/>
    <w:rsid w:val="00DF2C1C"/>
    <w:rPr>
      <w:sz w:val="16"/>
      <w:szCs w:val="16"/>
    </w:rPr>
  </w:style>
  <w:style w:type="paragraph" w:styleId="Testocommento">
    <w:name w:val="annotation text"/>
    <w:basedOn w:val="Normale"/>
    <w:link w:val="TestocommentoCarattere"/>
    <w:uiPriority w:val="99"/>
    <w:semiHidden/>
    <w:unhideWhenUsed/>
    <w:rsid w:val="00DF2C1C"/>
    <w:rPr>
      <w:sz w:val="20"/>
      <w:szCs w:val="20"/>
    </w:rPr>
  </w:style>
  <w:style w:type="character" w:customStyle="1" w:styleId="TestocommentoCarattere">
    <w:name w:val="Testo commento Carattere"/>
    <w:basedOn w:val="Carpredefinitoparagrafo"/>
    <w:link w:val="Testocommento"/>
    <w:uiPriority w:val="99"/>
    <w:semiHidden/>
    <w:rsid w:val="00DF2C1C"/>
    <w:rPr>
      <w:noProof/>
      <w:lang w:eastAsia="zh-TW"/>
    </w:rPr>
  </w:style>
  <w:style w:type="paragraph" w:styleId="Soggettocommento">
    <w:name w:val="annotation subject"/>
    <w:basedOn w:val="Testocommento"/>
    <w:next w:val="Testocommento"/>
    <w:link w:val="SoggettocommentoCarattere"/>
    <w:uiPriority w:val="99"/>
    <w:semiHidden/>
    <w:unhideWhenUsed/>
    <w:rsid w:val="00DF2C1C"/>
    <w:rPr>
      <w:b/>
      <w:bCs/>
    </w:rPr>
  </w:style>
  <w:style w:type="character" w:customStyle="1" w:styleId="SoggettocommentoCarattere">
    <w:name w:val="Soggetto commento Carattere"/>
    <w:basedOn w:val="TestocommentoCarattere"/>
    <w:link w:val="Soggettocommento"/>
    <w:uiPriority w:val="99"/>
    <w:semiHidden/>
    <w:rsid w:val="00DF2C1C"/>
    <w:rPr>
      <w:b/>
      <w:bCs/>
      <w:noProof/>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25761">
      <w:bodyDiv w:val="1"/>
      <w:marLeft w:val="0"/>
      <w:marRight w:val="0"/>
      <w:marTop w:val="0"/>
      <w:marBottom w:val="0"/>
      <w:divBdr>
        <w:top w:val="none" w:sz="0" w:space="0" w:color="auto"/>
        <w:left w:val="none" w:sz="0" w:space="0" w:color="auto"/>
        <w:bottom w:val="none" w:sz="0" w:space="0" w:color="auto"/>
        <w:right w:val="none" w:sz="0" w:space="0" w:color="auto"/>
      </w:divBdr>
    </w:div>
    <w:div w:id="5107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91704-2EC2-2941-8AC5-5FE93C340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19455</Words>
  <Characters>110894</Characters>
  <Application>Microsoft Office Word</Application>
  <DocSecurity>0</DocSecurity>
  <Lines>924</Lines>
  <Paragraphs>260</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Mariano Cirigliano</dc:creator>
  <cp:keywords/>
  <dc:description/>
  <cp:lastModifiedBy>roberto mastroianni</cp:lastModifiedBy>
  <cp:revision>2</cp:revision>
  <cp:lastPrinted>2024-11-28T16:54:00Z</cp:lastPrinted>
  <dcterms:created xsi:type="dcterms:W3CDTF">2025-03-21T17:15:00Z</dcterms:created>
  <dcterms:modified xsi:type="dcterms:W3CDTF">2025-03-21T17:15:00Z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2024-10-29T09:37:13Z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05a82d1e-1fdd-4028-8027-8ad0966720d5</vt:lpwstr>
  </property>
  <property fmtid="{D5CDD505-2E9C-101B-9397-08002B2CF9AE}" pid="8" name="MSIP_Label_2ad0b24d-6422-44b0-b3de-abb3a9e8c81a_ContentBits">
    <vt:lpwstr>0</vt:lpwstr>
  </property>
</Properties>
</file>