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12F" w:rsidRDefault="002629B5" w:rsidP="002629B5">
      <w:pPr>
        <w:autoSpaceDE w:val="0"/>
        <w:autoSpaceDN w:val="0"/>
        <w:adjustRightInd w:val="0"/>
        <w:spacing w:line="360" w:lineRule="auto"/>
        <w:jc w:val="center"/>
        <w:outlineLvl w:val="0"/>
        <w:rPr>
          <w:b/>
          <w:sz w:val="22"/>
          <w:szCs w:val="22"/>
        </w:rPr>
      </w:pPr>
      <w:bookmarkStart w:id="0" w:name="_Hlk8747651"/>
      <w:bookmarkStart w:id="1" w:name="_GoBack"/>
      <w:bookmarkEnd w:id="1"/>
      <w:r>
        <w:rPr>
          <w:b/>
          <w:sz w:val="22"/>
          <w:szCs w:val="22"/>
        </w:rPr>
        <w:t>S</w:t>
      </w:r>
      <w:r w:rsidR="00B74BB8">
        <w:rPr>
          <w:b/>
          <w:sz w:val="22"/>
          <w:szCs w:val="22"/>
        </w:rPr>
        <w:t xml:space="preserve">YNTHESIS OF NEW </w:t>
      </w:r>
      <w:r w:rsidR="00F55DE3">
        <w:rPr>
          <w:b/>
          <w:sz w:val="22"/>
          <w:szCs w:val="22"/>
        </w:rPr>
        <w:t>I</w:t>
      </w:r>
      <w:r w:rsidR="00B74BB8">
        <w:rPr>
          <w:b/>
          <w:sz w:val="22"/>
          <w:szCs w:val="22"/>
        </w:rPr>
        <w:t xml:space="preserve">SOXAZOLE </w:t>
      </w:r>
      <w:r w:rsidR="00625189">
        <w:rPr>
          <w:b/>
          <w:sz w:val="22"/>
          <w:szCs w:val="22"/>
        </w:rPr>
        <w:t xml:space="preserve">DERIVATIVES AS </w:t>
      </w:r>
      <w:r w:rsidR="00E9579F">
        <w:rPr>
          <w:b/>
          <w:sz w:val="22"/>
          <w:szCs w:val="22"/>
        </w:rPr>
        <w:t xml:space="preserve">FXR </w:t>
      </w:r>
      <w:r w:rsidR="00F55DE3">
        <w:rPr>
          <w:b/>
          <w:sz w:val="22"/>
          <w:szCs w:val="22"/>
        </w:rPr>
        <w:t>AGONISTS WITH IMPROVED PHARMACOKINETIC PROPERTIES</w:t>
      </w:r>
    </w:p>
    <w:p w:rsidR="002F612F" w:rsidRDefault="002F612F" w:rsidP="00602BE4">
      <w:pPr>
        <w:autoSpaceDE w:val="0"/>
        <w:autoSpaceDN w:val="0"/>
        <w:adjustRightInd w:val="0"/>
        <w:spacing w:after="100" w:afterAutospacing="1"/>
        <w:jc w:val="center"/>
        <w:rPr>
          <w:i/>
          <w:sz w:val="18"/>
          <w:szCs w:val="18"/>
          <w:vertAlign w:val="superscript"/>
          <w:lang w:val="it-IT"/>
        </w:rPr>
      </w:pPr>
      <w:r w:rsidRPr="00B74BB8">
        <w:rPr>
          <w:sz w:val="18"/>
          <w:szCs w:val="18"/>
          <w:lang w:val="it-IT"/>
        </w:rPr>
        <w:t>C.</w:t>
      </w:r>
      <w:r w:rsidR="00602BE4" w:rsidRPr="00B74BB8">
        <w:rPr>
          <w:sz w:val="18"/>
          <w:szCs w:val="18"/>
          <w:lang w:val="it-IT"/>
        </w:rPr>
        <w:t xml:space="preserve"> </w:t>
      </w:r>
      <w:proofErr w:type="spellStart"/>
      <w:r w:rsidRPr="00B74BB8">
        <w:rPr>
          <w:sz w:val="18"/>
          <w:szCs w:val="18"/>
          <w:lang w:val="it-IT"/>
        </w:rPr>
        <w:t>Finamore,</w:t>
      </w:r>
      <w:r w:rsidRPr="00B74BB8">
        <w:rPr>
          <w:i/>
          <w:sz w:val="18"/>
          <w:szCs w:val="18"/>
          <w:vertAlign w:val="superscript"/>
          <w:lang w:val="it-IT"/>
        </w:rPr>
        <w:t>a</w:t>
      </w:r>
      <w:proofErr w:type="spellEnd"/>
      <w:r w:rsidR="00B74BB8">
        <w:rPr>
          <w:i/>
          <w:sz w:val="18"/>
          <w:szCs w:val="18"/>
          <w:vertAlign w:val="superscript"/>
          <w:lang w:val="it-IT"/>
        </w:rPr>
        <w:t>*</w:t>
      </w:r>
      <w:r w:rsidRPr="002F612F">
        <w:rPr>
          <w:sz w:val="18"/>
          <w:szCs w:val="18"/>
          <w:lang w:val="it-IT"/>
        </w:rPr>
        <w:t xml:space="preserve"> </w:t>
      </w:r>
      <w:r w:rsidR="00F55DE3" w:rsidRPr="002F612F">
        <w:rPr>
          <w:sz w:val="18"/>
          <w:szCs w:val="18"/>
          <w:lang w:val="it-IT"/>
        </w:rPr>
        <w:t xml:space="preserve">V. </w:t>
      </w:r>
      <w:proofErr w:type="spellStart"/>
      <w:r w:rsidR="00F55DE3" w:rsidRPr="002F612F">
        <w:rPr>
          <w:sz w:val="18"/>
          <w:szCs w:val="18"/>
          <w:lang w:val="it-IT"/>
        </w:rPr>
        <w:t>Sepe,</w:t>
      </w:r>
      <w:r w:rsidR="00F55DE3" w:rsidRPr="00602BE4">
        <w:rPr>
          <w:i/>
          <w:sz w:val="18"/>
          <w:szCs w:val="18"/>
          <w:vertAlign w:val="superscript"/>
          <w:lang w:val="it-IT"/>
        </w:rPr>
        <w:t>a</w:t>
      </w:r>
      <w:proofErr w:type="spellEnd"/>
      <w:r w:rsidR="00F55DE3" w:rsidRPr="002F612F">
        <w:rPr>
          <w:sz w:val="18"/>
          <w:szCs w:val="18"/>
          <w:lang w:val="it-IT"/>
        </w:rPr>
        <w:t xml:space="preserve"> </w:t>
      </w:r>
      <w:r w:rsidRPr="002F612F">
        <w:rPr>
          <w:sz w:val="18"/>
          <w:szCs w:val="18"/>
          <w:lang w:val="it-IT"/>
        </w:rPr>
        <w:t xml:space="preserve">G. </w:t>
      </w:r>
      <w:proofErr w:type="spellStart"/>
      <w:r w:rsidRPr="002F612F">
        <w:rPr>
          <w:sz w:val="18"/>
          <w:szCs w:val="18"/>
          <w:lang w:val="it-IT"/>
        </w:rPr>
        <w:t>Baronissi,</w:t>
      </w:r>
      <w:r w:rsidRPr="00602BE4">
        <w:rPr>
          <w:i/>
          <w:sz w:val="18"/>
          <w:szCs w:val="18"/>
          <w:vertAlign w:val="superscript"/>
          <w:lang w:val="it-IT"/>
        </w:rPr>
        <w:t>a</w:t>
      </w:r>
      <w:proofErr w:type="spellEnd"/>
      <w:r w:rsidRPr="002F612F">
        <w:rPr>
          <w:sz w:val="18"/>
          <w:szCs w:val="18"/>
          <w:lang w:val="it-IT"/>
        </w:rPr>
        <w:t xml:space="preserve"> C. </w:t>
      </w:r>
      <w:proofErr w:type="spellStart"/>
      <w:r w:rsidRPr="002F612F">
        <w:rPr>
          <w:sz w:val="18"/>
          <w:szCs w:val="18"/>
          <w:lang w:val="it-IT"/>
        </w:rPr>
        <w:t>Cassiano,</w:t>
      </w:r>
      <w:r w:rsidR="00625189">
        <w:rPr>
          <w:i/>
          <w:sz w:val="18"/>
          <w:szCs w:val="18"/>
          <w:vertAlign w:val="superscript"/>
          <w:lang w:val="it-IT"/>
        </w:rPr>
        <w:t>a</w:t>
      </w:r>
      <w:proofErr w:type="spellEnd"/>
      <w:r w:rsidRPr="002F612F">
        <w:rPr>
          <w:sz w:val="18"/>
          <w:szCs w:val="18"/>
          <w:lang w:val="it-IT"/>
        </w:rPr>
        <w:t xml:space="preserve"> M. C. </w:t>
      </w:r>
      <w:proofErr w:type="spellStart"/>
      <w:r w:rsidRPr="002F612F">
        <w:rPr>
          <w:sz w:val="18"/>
          <w:szCs w:val="18"/>
          <w:lang w:val="it-IT"/>
        </w:rPr>
        <w:t>Monti,</w:t>
      </w:r>
      <w:r w:rsidRPr="00602BE4">
        <w:rPr>
          <w:i/>
          <w:sz w:val="18"/>
          <w:szCs w:val="18"/>
          <w:vertAlign w:val="superscript"/>
          <w:lang w:val="it-IT"/>
        </w:rPr>
        <w:t>d</w:t>
      </w:r>
      <w:proofErr w:type="spellEnd"/>
      <w:r>
        <w:rPr>
          <w:sz w:val="18"/>
          <w:szCs w:val="18"/>
          <w:lang w:val="it-IT"/>
        </w:rPr>
        <w:t xml:space="preserve"> </w:t>
      </w:r>
      <w:r w:rsidR="00625189">
        <w:rPr>
          <w:sz w:val="18"/>
          <w:szCs w:val="18"/>
          <w:lang w:val="it-IT"/>
        </w:rPr>
        <w:t xml:space="preserve">S. De </w:t>
      </w:r>
      <w:proofErr w:type="spellStart"/>
      <w:r w:rsidR="00625189">
        <w:rPr>
          <w:sz w:val="18"/>
          <w:szCs w:val="18"/>
          <w:lang w:val="it-IT"/>
        </w:rPr>
        <w:t>Marino,</w:t>
      </w:r>
      <w:r w:rsidR="00625189" w:rsidRPr="00625189">
        <w:rPr>
          <w:i/>
          <w:sz w:val="18"/>
          <w:szCs w:val="18"/>
          <w:vertAlign w:val="superscript"/>
          <w:lang w:val="it-IT"/>
        </w:rPr>
        <w:t>a</w:t>
      </w:r>
      <w:proofErr w:type="spellEnd"/>
      <w:r w:rsidR="00625189">
        <w:rPr>
          <w:i/>
          <w:sz w:val="18"/>
          <w:szCs w:val="18"/>
          <w:vertAlign w:val="superscript"/>
          <w:lang w:val="it-IT"/>
        </w:rPr>
        <w:t xml:space="preserve"> </w:t>
      </w:r>
      <w:r w:rsidRPr="002F612F">
        <w:rPr>
          <w:sz w:val="18"/>
          <w:szCs w:val="18"/>
          <w:lang w:val="it-IT"/>
        </w:rPr>
        <w:t xml:space="preserve">E. </w:t>
      </w:r>
      <w:proofErr w:type="spellStart"/>
      <w:r w:rsidRPr="002F612F">
        <w:rPr>
          <w:sz w:val="18"/>
          <w:szCs w:val="18"/>
          <w:lang w:val="it-IT"/>
        </w:rPr>
        <w:t>Novellino,</w:t>
      </w:r>
      <w:r w:rsidRPr="00602BE4">
        <w:rPr>
          <w:i/>
          <w:sz w:val="18"/>
          <w:szCs w:val="18"/>
          <w:vertAlign w:val="superscript"/>
          <w:lang w:val="it-IT"/>
        </w:rPr>
        <w:t>a</w:t>
      </w:r>
      <w:proofErr w:type="spellEnd"/>
      <w:r w:rsidRPr="002F612F">
        <w:rPr>
          <w:sz w:val="18"/>
          <w:szCs w:val="18"/>
          <w:lang w:val="it-IT"/>
        </w:rPr>
        <w:t xml:space="preserve"> V. </w:t>
      </w:r>
      <w:proofErr w:type="spellStart"/>
      <w:r w:rsidRPr="002F612F">
        <w:rPr>
          <w:sz w:val="18"/>
          <w:szCs w:val="18"/>
          <w:lang w:val="it-IT"/>
        </w:rPr>
        <w:t>Limongelli,</w:t>
      </w:r>
      <w:r w:rsidRPr="00602BE4">
        <w:rPr>
          <w:i/>
          <w:sz w:val="18"/>
          <w:szCs w:val="18"/>
          <w:vertAlign w:val="superscript"/>
          <w:lang w:val="it-IT"/>
        </w:rPr>
        <w:t>a,c</w:t>
      </w:r>
      <w:proofErr w:type="spellEnd"/>
      <w:r w:rsidRPr="002F612F">
        <w:rPr>
          <w:sz w:val="18"/>
          <w:szCs w:val="18"/>
          <w:lang w:val="it-IT"/>
        </w:rPr>
        <w:t xml:space="preserve"> S. </w:t>
      </w:r>
      <w:proofErr w:type="spellStart"/>
      <w:r w:rsidRPr="002F612F">
        <w:rPr>
          <w:sz w:val="18"/>
          <w:szCs w:val="18"/>
          <w:lang w:val="it-IT"/>
        </w:rPr>
        <w:t>Fiorucci,</w:t>
      </w:r>
      <w:r w:rsidRPr="00602BE4">
        <w:rPr>
          <w:i/>
          <w:sz w:val="18"/>
          <w:szCs w:val="18"/>
          <w:vertAlign w:val="superscript"/>
          <w:lang w:val="it-IT"/>
        </w:rPr>
        <w:t>b</w:t>
      </w:r>
      <w:proofErr w:type="spellEnd"/>
      <w:r w:rsidRPr="002F612F">
        <w:rPr>
          <w:sz w:val="18"/>
          <w:szCs w:val="18"/>
          <w:lang w:val="it-IT"/>
        </w:rPr>
        <w:t xml:space="preserve"> A. </w:t>
      </w:r>
      <w:proofErr w:type="spellStart"/>
      <w:r w:rsidRPr="002F612F">
        <w:rPr>
          <w:sz w:val="18"/>
          <w:szCs w:val="18"/>
          <w:lang w:val="it-IT"/>
        </w:rPr>
        <w:t>Zampella</w:t>
      </w:r>
      <w:r w:rsidRPr="00602BE4">
        <w:rPr>
          <w:i/>
          <w:sz w:val="18"/>
          <w:szCs w:val="18"/>
          <w:vertAlign w:val="superscript"/>
          <w:lang w:val="it-IT"/>
        </w:rPr>
        <w:t>a</w:t>
      </w:r>
      <w:proofErr w:type="spellEnd"/>
    </w:p>
    <w:p w:rsidR="00473727" w:rsidRPr="00473727" w:rsidRDefault="00473727" w:rsidP="00473727">
      <w:pPr>
        <w:pStyle w:val="BCAuthorAddress"/>
        <w:jc w:val="center"/>
        <w:rPr>
          <w:rFonts w:ascii="Times New Roman" w:hAnsi="Times New Roman"/>
          <w:i/>
          <w:sz w:val="18"/>
          <w:szCs w:val="18"/>
        </w:rPr>
      </w:pPr>
      <w:proofErr w:type="spellStart"/>
      <w:r w:rsidRPr="00473727">
        <w:rPr>
          <w:rFonts w:ascii="Times New Roman" w:hAnsi="Times New Roman"/>
          <w:i/>
          <w:sz w:val="18"/>
          <w:szCs w:val="18"/>
          <w:vertAlign w:val="superscript"/>
        </w:rPr>
        <w:t>a</w:t>
      </w:r>
      <w:r w:rsidRPr="00473727">
        <w:rPr>
          <w:rFonts w:ascii="Times New Roman" w:hAnsi="Times New Roman"/>
          <w:i/>
          <w:sz w:val="18"/>
          <w:szCs w:val="18"/>
        </w:rPr>
        <w:t>Department</w:t>
      </w:r>
      <w:proofErr w:type="spellEnd"/>
      <w:r w:rsidRPr="00473727">
        <w:rPr>
          <w:rFonts w:ascii="Times New Roman" w:hAnsi="Times New Roman"/>
          <w:i/>
          <w:sz w:val="18"/>
          <w:szCs w:val="18"/>
        </w:rPr>
        <w:t xml:space="preserve"> of Pharmacy, University of Naples "Federico II", Via D. Montesano 49,</w:t>
      </w:r>
      <w:r>
        <w:rPr>
          <w:rFonts w:ascii="Times New Roman" w:hAnsi="Times New Roman"/>
          <w:i/>
          <w:sz w:val="18"/>
          <w:szCs w:val="18"/>
        </w:rPr>
        <w:t xml:space="preserve"> </w:t>
      </w:r>
      <w:r w:rsidRPr="00473727">
        <w:rPr>
          <w:rFonts w:ascii="Times New Roman" w:hAnsi="Times New Roman"/>
          <w:i/>
          <w:sz w:val="18"/>
          <w:szCs w:val="18"/>
        </w:rPr>
        <w:t>Naples, Italy.</w:t>
      </w:r>
    </w:p>
    <w:p w:rsidR="00473727" w:rsidRPr="00473727" w:rsidRDefault="00473727" w:rsidP="00473727">
      <w:pPr>
        <w:pStyle w:val="BCAuthorAddress"/>
        <w:jc w:val="center"/>
        <w:rPr>
          <w:rFonts w:ascii="Times New Roman" w:hAnsi="Times New Roman"/>
          <w:i/>
          <w:sz w:val="18"/>
          <w:szCs w:val="18"/>
        </w:rPr>
      </w:pPr>
      <w:proofErr w:type="spellStart"/>
      <w:r w:rsidRPr="00473727">
        <w:rPr>
          <w:rFonts w:ascii="Times New Roman" w:hAnsi="Times New Roman"/>
          <w:i/>
          <w:sz w:val="18"/>
          <w:szCs w:val="18"/>
          <w:vertAlign w:val="superscript"/>
        </w:rPr>
        <w:t>b</w:t>
      </w:r>
      <w:r w:rsidRPr="00473727">
        <w:rPr>
          <w:rFonts w:ascii="Times New Roman" w:hAnsi="Times New Roman"/>
          <w:i/>
          <w:sz w:val="18"/>
          <w:szCs w:val="18"/>
        </w:rPr>
        <w:t>Department</w:t>
      </w:r>
      <w:proofErr w:type="spellEnd"/>
      <w:r w:rsidRPr="00473727">
        <w:rPr>
          <w:rFonts w:ascii="Times New Roman" w:hAnsi="Times New Roman"/>
          <w:i/>
          <w:sz w:val="18"/>
          <w:szCs w:val="18"/>
        </w:rPr>
        <w:t xml:space="preserve"> of Surgery and Biomedical Sciences, Nuova </w:t>
      </w:r>
      <w:proofErr w:type="spellStart"/>
      <w:r w:rsidRPr="00473727">
        <w:rPr>
          <w:rFonts w:ascii="Times New Roman" w:hAnsi="Times New Roman"/>
          <w:i/>
          <w:sz w:val="18"/>
          <w:szCs w:val="18"/>
        </w:rPr>
        <w:t>Facoltà</w:t>
      </w:r>
      <w:proofErr w:type="spellEnd"/>
      <w:r w:rsidRPr="00473727">
        <w:rPr>
          <w:rFonts w:ascii="Times New Roman" w:hAnsi="Times New Roman"/>
          <w:i/>
          <w:sz w:val="18"/>
          <w:szCs w:val="18"/>
        </w:rPr>
        <w:t xml:space="preserve"> di </w:t>
      </w:r>
      <w:proofErr w:type="spellStart"/>
      <w:r w:rsidRPr="00473727">
        <w:rPr>
          <w:rFonts w:ascii="Times New Roman" w:hAnsi="Times New Roman"/>
          <w:i/>
          <w:sz w:val="18"/>
          <w:szCs w:val="18"/>
        </w:rPr>
        <w:t>Medicina</w:t>
      </w:r>
      <w:proofErr w:type="spellEnd"/>
      <w:r w:rsidRPr="00473727">
        <w:rPr>
          <w:rFonts w:ascii="Times New Roman" w:hAnsi="Times New Roman"/>
          <w:i/>
          <w:sz w:val="18"/>
          <w:szCs w:val="18"/>
        </w:rPr>
        <w:t>, Perugia, Italy.</w:t>
      </w:r>
    </w:p>
    <w:p w:rsidR="00473727" w:rsidRPr="00473727" w:rsidRDefault="00473727" w:rsidP="00473727">
      <w:pPr>
        <w:pStyle w:val="BCAuthorAddress"/>
        <w:jc w:val="center"/>
        <w:rPr>
          <w:rFonts w:ascii="Times New Roman" w:hAnsi="Times New Roman"/>
          <w:i/>
          <w:sz w:val="18"/>
          <w:szCs w:val="18"/>
        </w:rPr>
      </w:pPr>
      <w:proofErr w:type="spellStart"/>
      <w:r w:rsidRPr="00473727">
        <w:rPr>
          <w:rFonts w:ascii="Times New Roman" w:hAnsi="Times New Roman"/>
          <w:i/>
          <w:sz w:val="18"/>
          <w:szCs w:val="18"/>
          <w:vertAlign w:val="superscript"/>
        </w:rPr>
        <w:t>c</w:t>
      </w:r>
      <w:r w:rsidRPr="00473727">
        <w:rPr>
          <w:rFonts w:ascii="Times New Roman" w:hAnsi="Times New Roman"/>
          <w:i/>
          <w:sz w:val="18"/>
          <w:szCs w:val="18"/>
        </w:rPr>
        <w:t>Università</w:t>
      </w:r>
      <w:proofErr w:type="spellEnd"/>
      <w:r w:rsidRPr="00473727">
        <w:rPr>
          <w:rFonts w:ascii="Times New Roman" w:hAnsi="Times New Roman"/>
          <w:i/>
          <w:sz w:val="18"/>
          <w:szCs w:val="18"/>
        </w:rPr>
        <w:t xml:space="preserve"> </w:t>
      </w:r>
      <w:proofErr w:type="spellStart"/>
      <w:r w:rsidRPr="00473727">
        <w:rPr>
          <w:rFonts w:ascii="Times New Roman" w:hAnsi="Times New Roman"/>
          <w:i/>
          <w:sz w:val="18"/>
          <w:szCs w:val="18"/>
        </w:rPr>
        <w:t>della</w:t>
      </w:r>
      <w:proofErr w:type="spellEnd"/>
      <w:r w:rsidRPr="00473727">
        <w:rPr>
          <w:rFonts w:ascii="Times New Roman" w:hAnsi="Times New Roman"/>
          <w:i/>
          <w:sz w:val="18"/>
          <w:szCs w:val="18"/>
        </w:rPr>
        <w:t xml:space="preserve"> </w:t>
      </w:r>
      <w:proofErr w:type="spellStart"/>
      <w:r w:rsidRPr="00473727">
        <w:rPr>
          <w:rFonts w:ascii="Times New Roman" w:hAnsi="Times New Roman"/>
          <w:i/>
          <w:sz w:val="18"/>
          <w:szCs w:val="18"/>
        </w:rPr>
        <w:t>Svizzera</w:t>
      </w:r>
      <w:proofErr w:type="spellEnd"/>
      <w:r w:rsidRPr="00473727">
        <w:rPr>
          <w:rFonts w:ascii="Times New Roman" w:hAnsi="Times New Roman"/>
          <w:i/>
          <w:sz w:val="18"/>
          <w:szCs w:val="18"/>
        </w:rPr>
        <w:t xml:space="preserve"> </w:t>
      </w:r>
      <w:proofErr w:type="spellStart"/>
      <w:r w:rsidRPr="00473727">
        <w:rPr>
          <w:rFonts w:ascii="Times New Roman" w:hAnsi="Times New Roman"/>
          <w:i/>
          <w:sz w:val="18"/>
          <w:szCs w:val="18"/>
        </w:rPr>
        <w:t>Italiana</w:t>
      </w:r>
      <w:proofErr w:type="spellEnd"/>
      <w:r w:rsidRPr="00473727">
        <w:rPr>
          <w:rFonts w:ascii="Times New Roman" w:hAnsi="Times New Roman"/>
          <w:i/>
          <w:sz w:val="18"/>
          <w:szCs w:val="18"/>
        </w:rPr>
        <w:t xml:space="preserve"> (USI), Faculty of Biomedical Sciences, Institute of Computational Science Center for Computational Medicine in Cardiology, Via G. </w:t>
      </w:r>
      <w:proofErr w:type="spellStart"/>
      <w:r w:rsidRPr="00473727">
        <w:rPr>
          <w:rFonts w:ascii="Times New Roman" w:hAnsi="Times New Roman"/>
          <w:i/>
          <w:sz w:val="18"/>
          <w:szCs w:val="18"/>
        </w:rPr>
        <w:t>Buffi</w:t>
      </w:r>
      <w:proofErr w:type="spellEnd"/>
      <w:r w:rsidRPr="00473727">
        <w:rPr>
          <w:rFonts w:ascii="Times New Roman" w:hAnsi="Times New Roman"/>
          <w:i/>
          <w:sz w:val="18"/>
          <w:szCs w:val="18"/>
        </w:rPr>
        <w:t xml:space="preserve"> 13, Lugano, Switzerland.</w:t>
      </w:r>
    </w:p>
    <w:p w:rsidR="00473727" w:rsidRPr="00473727" w:rsidRDefault="00473727" w:rsidP="00473727">
      <w:pPr>
        <w:pStyle w:val="BCAuthorAddress"/>
        <w:jc w:val="center"/>
        <w:rPr>
          <w:rFonts w:ascii="Times New Roman" w:hAnsi="Times New Roman"/>
          <w:i/>
          <w:sz w:val="18"/>
          <w:szCs w:val="18"/>
          <w:lang w:val="it-IT"/>
        </w:rPr>
      </w:pPr>
      <w:proofErr w:type="spellStart"/>
      <w:r w:rsidRPr="00473727">
        <w:rPr>
          <w:rFonts w:ascii="Times New Roman" w:hAnsi="Times New Roman"/>
          <w:i/>
          <w:sz w:val="18"/>
          <w:szCs w:val="18"/>
          <w:vertAlign w:val="superscript"/>
          <w:lang w:val="it-IT"/>
        </w:rPr>
        <w:t>d</w:t>
      </w:r>
      <w:r w:rsidRPr="00473727">
        <w:rPr>
          <w:rFonts w:ascii="Times New Roman" w:hAnsi="Times New Roman"/>
          <w:i/>
          <w:sz w:val="18"/>
          <w:szCs w:val="18"/>
          <w:lang w:val="it-IT"/>
        </w:rPr>
        <w:t>Department</w:t>
      </w:r>
      <w:proofErr w:type="spellEnd"/>
      <w:r w:rsidRPr="00473727">
        <w:rPr>
          <w:rFonts w:ascii="Times New Roman" w:hAnsi="Times New Roman"/>
          <w:i/>
          <w:sz w:val="18"/>
          <w:szCs w:val="18"/>
          <w:lang w:val="it-IT"/>
        </w:rPr>
        <w:t xml:space="preserve"> of </w:t>
      </w:r>
      <w:proofErr w:type="spellStart"/>
      <w:r w:rsidRPr="00473727">
        <w:rPr>
          <w:rFonts w:ascii="Times New Roman" w:hAnsi="Times New Roman"/>
          <w:i/>
          <w:sz w:val="18"/>
          <w:szCs w:val="18"/>
          <w:lang w:val="it-IT"/>
        </w:rPr>
        <w:t>Pharmacy</w:t>
      </w:r>
      <w:proofErr w:type="spellEnd"/>
      <w:r w:rsidRPr="00473727">
        <w:rPr>
          <w:rFonts w:ascii="Times New Roman" w:hAnsi="Times New Roman"/>
          <w:i/>
          <w:sz w:val="18"/>
          <w:szCs w:val="18"/>
          <w:lang w:val="it-IT"/>
        </w:rPr>
        <w:t xml:space="preserve">, University of Salerno, Via Giovanni Paolo II, 132, Fisciano, Salerno, </w:t>
      </w:r>
      <w:proofErr w:type="spellStart"/>
      <w:r w:rsidRPr="00473727">
        <w:rPr>
          <w:rFonts w:ascii="Times New Roman" w:hAnsi="Times New Roman"/>
          <w:i/>
          <w:sz w:val="18"/>
          <w:szCs w:val="18"/>
          <w:lang w:val="it-IT"/>
        </w:rPr>
        <w:t>Italy</w:t>
      </w:r>
      <w:proofErr w:type="spellEnd"/>
      <w:r w:rsidRPr="00473727">
        <w:rPr>
          <w:rFonts w:ascii="Times New Roman" w:hAnsi="Times New Roman"/>
          <w:i/>
          <w:sz w:val="18"/>
          <w:szCs w:val="18"/>
          <w:lang w:val="it-IT"/>
        </w:rPr>
        <w:t>.</w:t>
      </w:r>
    </w:p>
    <w:p w:rsidR="00E352A0" w:rsidRPr="00625189" w:rsidRDefault="00E352A0" w:rsidP="00602BE4">
      <w:pPr>
        <w:autoSpaceDE w:val="0"/>
        <w:autoSpaceDN w:val="0"/>
        <w:adjustRightInd w:val="0"/>
        <w:jc w:val="center"/>
        <w:outlineLvl w:val="0"/>
        <w:rPr>
          <w:i/>
          <w:sz w:val="18"/>
          <w:szCs w:val="18"/>
          <w:lang w:val="it-IT"/>
        </w:rPr>
      </w:pPr>
      <w:r w:rsidRPr="00625189">
        <w:rPr>
          <w:i/>
          <w:sz w:val="18"/>
          <w:szCs w:val="18"/>
          <w:lang w:val="it-IT"/>
        </w:rPr>
        <w:t xml:space="preserve">e-mail: </w:t>
      </w:r>
      <w:r w:rsidR="00602BE4" w:rsidRPr="00625189">
        <w:rPr>
          <w:i/>
          <w:sz w:val="18"/>
          <w:szCs w:val="18"/>
          <w:lang w:val="it-IT"/>
        </w:rPr>
        <w:t>claudia.finamore@unina.it</w:t>
      </w:r>
    </w:p>
    <w:p w:rsidR="003E0C8A" w:rsidRPr="00625189" w:rsidRDefault="003E0C8A" w:rsidP="0056527B">
      <w:pPr>
        <w:autoSpaceDE w:val="0"/>
        <w:autoSpaceDN w:val="0"/>
        <w:adjustRightInd w:val="0"/>
        <w:jc w:val="center"/>
        <w:outlineLvl w:val="0"/>
        <w:rPr>
          <w:i/>
          <w:sz w:val="18"/>
          <w:szCs w:val="18"/>
          <w:lang w:val="it-IT"/>
        </w:rPr>
      </w:pPr>
    </w:p>
    <w:p w:rsidR="00620AB3" w:rsidRDefault="00A51CCB" w:rsidP="00620AB3">
      <w:pPr>
        <w:pStyle w:val="Rientrocorpodeltesto"/>
        <w:ind w:firstLine="425"/>
        <w:outlineLvl w:val="0"/>
        <w:rPr>
          <w:szCs w:val="18"/>
          <w:lang w:val="en-US"/>
        </w:rPr>
      </w:pPr>
      <w:r>
        <w:rPr>
          <w:szCs w:val="18"/>
          <w:lang w:val="en-US"/>
        </w:rPr>
        <w:t xml:space="preserve">FXR is one of the most investigated targets, </w:t>
      </w:r>
      <w:r w:rsidRPr="003E0C8A">
        <w:rPr>
          <w:szCs w:val="18"/>
          <w:lang w:val="en-US"/>
        </w:rPr>
        <w:t xml:space="preserve">expressed by entero-hepatic tissues including liver, gallbladder, intestine, and by the kidney, </w:t>
      </w:r>
      <w:r>
        <w:rPr>
          <w:szCs w:val="18"/>
          <w:lang w:val="en-US"/>
        </w:rPr>
        <w:t xml:space="preserve">for its involvement in several psychopathological aspect of the organism. </w:t>
      </w:r>
      <w:r w:rsidRPr="003E0C8A">
        <w:rPr>
          <w:szCs w:val="18"/>
          <w:lang w:val="en-US"/>
        </w:rPr>
        <w:t>FXR is a bile acid sensor, with primary bile acids, chenodeoxycholic acid in humans, and cholic acid (CA) in mouse, and the corresponding taurine or glycine amide conjugates</w:t>
      </w:r>
      <w:r w:rsidR="00F55DE3">
        <w:rPr>
          <w:szCs w:val="18"/>
          <w:lang w:val="en-US"/>
        </w:rPr>
        <w:t xml:space="preserve">, </w:t>
      </w:r>
      <w:r w:rsidRPr="003E0C8A">
        <w:rPr>
          <w:szCs w:val="18"/>
          <w:lang w:val="en-US"/>
        </w:rPr>
        <w:t>serving as natural ligands.</w:t>
      </w:r>
      <w:r w:rsidR="007B0D6F" w:rsidRPr="007B0D6F">
        <w:rPr>
          <w:szCs w:val="18"/>
          <w:vertAlign w:val="superscript"/>
          <w:lang w:val="en-US"/>
        </w:rPr>
        <w:t>1</w:t>
      </w:r>
      <w:r w:rsidRPr="003E0C8A">
        <w:rPr>
          <w:szCs w:val="18"/>
          <w:lang w:val="en-US"/>
        </w:rPr>
        <w:t xml:space="preserve"> </w:t>
      </w:r>
      <w:r w:rsidRPr="00A51CCB">
        <w:rPr>
          <w:szCs w:val="18"/>
          <w:lang w:val="en-US"/>
        </w:rPr>
        <w:t>FXR activation gover</w:t>
      </w:r>
      <w:r w:rsidR="00620AB3">
        <w:rPr>
          <w:szCs w:val="18"/>
          <w:lang w:val="en-US"/>
        </w:rPr>
        <w:t>ns</w:t>
      </w:r>
      <w:r w:rsidRPr="003E0C8A">
        <w:rPr>
          <w:szCs w:val="18"/>
          <w:lang w:val="en-US"/>
        </w:rPr>
        <w:t xml:space="preserve"> bile acid homeostasis by repressing bile acid synthesis and uptake while increas</w:t>
      </w:r>
      <w:r w:rsidR="00620AB3">
        <w:rPr>
          <w:szCs w:val="18"/>
          <w:lang w:val="en-US"/>
        </w:rPr>
        <w:t>es</w:t>
      </w:r>
      <w:r w:rsidRPr="003E0C8A">
        <w:rPr>
          <w:szCs w:val="18"/>
          <w:lang w:val="en-US"/>
        </w:rPr>
        <w:t xml:space="preserve"> their urinary excretion, as protective mechanism in conditions of impaired biliary excretion (cholestasis).</w:t>
      </w:r>
      <w:r w:rsidR="007B0D6F" w:rsidRPr="007B0D6F">
        <w:rPr>
          <w:szCs w:val="18"/>
          <w:vertAlign w:val="superscript"/>
          <w:lang w:val="en-US"/>
        </w:rPr>
        <w:t>2</w:t>
      </w:r>
      <w:r w:rsidRPr="003E0C8A">
        <w:rPr>
          <w:szCs w:val="18"/>
          <w:lang w:val="en-US"/>
        </w:rPr>
        <w:t xml:space="preserve"> </w:t>
      </w:r>
      <w:r w:rsidRPr="00A51CCB">
        <w:rPr>
          <w:szCs w:val="18"/>
          <w:lang w:val="en-US"/>
        </w:rPr>
        <w:t xml:space="preserve">In addition, </w:t>
      </w:r>
      <w:r w:rsidR="00FB73ED">
        <w:rPr>
          <w:szCs w:val="18"/>
          <w:lang w:val="en-US"/>
        </w:rPr>
        <w:t xml:space="preserve">FXR </w:t>
      </w:r>
      <w:r w:rsidRPr="00A51CCB">
        <w:rPr>
          <w:szCs w:val="18"/>
          <w:lang w:val="en-US"/>
        </w:rPr>
        <w:t xml:space="preserve">plays functional roles in regulating glucose and lipid metabolism, exerting robust anti-inflammatory activity in intestine and in the liver, and </w:t>
      </w:r>
      <w:r w:rsidR="00C452A1">
        <w:rPr>
          <w:szCs w:val="18"/>
          <w:lang w:val="en-US"/>
        </w:rPr>
        <w:t xml:space="preserve">it </w:t>
      </w:r>
      <w:r w:rsidRPr="00A51CCB">
        <w:rPr>
          <w:szCs w:val="18"/>
          <w:lang w:val="en-US"/>
        </w:rPr>
        <w:t>is considered a validated target for the treatment of liver diseases, such as cholestasis, liver fibrosis, steatohepatitis (NASH), diabetes, as well as obesity</w:t>
      </w:r>
      <w:r>
        <w:rPr>
          <w:szCs w:val="18"/>
          <w:lang w:val="en-US"/>
        </w:rPr>
        <w:t xml:space="preserve"> and </w:t>
      </w:r>
      <w:r w:rsidRPr="00A51CCB">
        <w:rPr>
          <w:szCs w:val="18"/>
          <w:lang w:val="en-US"/>
        </w:rPr>
        <w:t>metabolic syndrome</w:t>
      </w:r>
      <w:r>
        <w:rPr>
          <w:szCs w:val="18"/>
          <w:lang w:val="en-US"/>
        </w:rPr>
        <w:t>. Considering the growing interest toward this receptor, several small molecules ranging from bile acid derivatives to non-steroidal ligands have been synthesized. The first in class</w:t>
      </w:r>
      <w:r w:rsidR="00F55DE3">
        <w:rPr>
          <w:szCs w:val="18"/>
          <w:lang w:val="en-US"/>
        </w:rPr>
        <w:t xml:space="preserve"> </w:t>
      </w:r>
      <w:r>
        <w:rPr>
          <w:szCs w:val="18"/>
          <w:lang w:val="en-US"/>
        </w:rPr>
        <w:t>non-steroidal FXR ligand is GW</w:t>
      </w:r>
      <w:r w:rsidR="0071210C">
        <w:rPr>
          <w:szCs w:val="18"/>
          <w:lang w:val="en-US"/>
        </w:rPr>
        <w:t>4064,</w:t>
      </w:r>
      <w:r w:rsidR="007B0D6F" w:rsidRPr="007B0D6F">
        <w:rPr>
          <w:szCs w:val="18"/>
          <w:vertAlign w:val="superscript"/>
          <w:lang w:val="en-US"/>
        </w:rPr>
        <w:t>3</w:t>
      </w:r>
      <w:r w:rsidR="0071210C">
        <w:rPr>
          <w:szCs w:val="18"/>
          <w:lang w:val="en-US"/>
        </w:rPr>
        <w:t xml:space="preserve"> whose use </w:t>
      </w:r>
      <w:r w:rsidR="0071210C" w:rsidRPr="0071210C">
        <w:rPr>
          <w:szCs w:val="18"/>
          <w:lang w:val="en-US"/>
        </w:rPr>
        <w:t xml:space="preserve">was limited by reduced bioavailability as well as </w:t>
      </w:r>
      <w:r w:rsidR="0071210C">
        <w:rPr>
          <w:szCs w:val="18"/>
          <w:lang w:val="en-US"/>
        </w:rPr>
        <w:t xml:space="preserve">a </w:t>
      </w:r>
      <w:r w:rsidR="0071210C" w:rsidRPr="0071210C">
        <w:rPr>
          <w:szCs w:val="18"/>
          <w:lang w:val="en-US"/>
        </w:rPr>
        <w:t xml:space="preserve">stilbene-mediated photo-instability. Thus, </w:t>
      </w:r>
      <w:r w:rsidR="00620AB3">
        <w:rPr>
          <w:szCs w:val="18"/>
          <w:lang w:val="en-US"/>
        </w:rPr>
        <w:t>recent,</w:t>
      </w:r>
      <w:r w:rsidR="000218AE" w:rsidRPr="0071210C">
        <w:rPr>
          <w:szCs w:val="18"/>
          <w:lang w:val="en-US"/>
        </w:rPr>
        <w:t xml:space="preserve"> </w:t>
      </w:r>
      <w:r w:rsidR="0071210C" w:rsidRPr="0071210C">
        <w:rPr>
          <w:szCs w:val="18"/>
          <w:lang w:val="en-US"/>
        </w:rPr>
        <w:t>intense medicinal chemistry protocol</w:t>
      </w:r>
      <w:r w:rsidR="000218AE">
        <w:rPr>
          <w:szCs w:val="18"/>
          <w:lang w:val="en-US"/>
        </w:rPr>
        <w:t>s</w:t>
      </w:r>
      <w:r w:rsidR="0071210C" w:rsidRPr="0071210C">
        <w:rPr>
          <w:szCs w:val="18"/>
          <w:lang w:val="en-US"/>
        </w:rPr>
        <w:t xml:space="preserve"> </w:t>
      </w:r>
      <w:r w:rsidR="000218AE">
        <w:rPr>
          <w:szCs w:val="18"/>
          <w:lang w:val="en-US"/>
        </w:rPr>
        <w:t>have been performed</w:t>
      </w:r>
      <w:r w:rsidR="0071210C" w:rsidRPr="0071210C">
        <w:rPr>
          <w:szCs w:val="18"/>
          <w:lang w:val="en-US"/>
        </w:rPr>
        <w:t xml:space="preserve"> </w:t>
      </w:r>
      <w:r w:rsidR="000218AE">
        <w:rPr>
          <w:szCs w:val="18"/>
          <w:lang w:val="en-US"/>
        </w:rPr>
        <w:t>in order to identify</w:t>
      </w:r>
      <w:r w:rsidR="0071210C" w:rsidRPr="0071210C">
        <w:rPr>
          <w:szCs w:val="18"/>
          <w:lang w:val="en-US"/>
        </w:rPr>
        <w:t xml:space="preserve"> new isoxazole derivatives,</w:t>
      </w:r>
      <w:r w:rsidR="000218AE">
        <w:rPr>
          <w:szCs w:val="18"/>
          <w:lang w:val="en-US"/>
        </w:rPr>
        <w:t xml:space="preserve"> modified mainly on the stilbene moiety, while</w:t>
      </w:r>
      <w:r w:rsidR="0071210C" w:rsidRPr="0071210C">
        <w:rPr>
          <w:szCs w:val="18"/>
          <w:lang w:val="en-US"/>
        </w:rPr>
        <w:t xml:space="preserve"> the trisubstituted </w:t>
      </w:r>
      <w:r w:rsidR="0071210C" w:rsidRPr="000218AE">
        <w:rPr>
          <w:szCs w:val="18"/>
          <w:lang w:val="en-US"/>
        </w:rPr>
        <w:t>isoxazole</w:t>
      </w:r>
      <w:r w:rsidR="000218AE" w:rsidRPr="000218AE">
        <w:rPr>
          <w:szCs w:val="18"/>
          <w:lang w:val="en-US"/>
        </w:rPr>
        <w:t>, the isopropyl group at C-5 and the 2,6-dicloro-substituted phenyl moiety at C-3 were conserved.</w:t>
      </w:r>
    </w:p>
    <w:p w:rsidR="007B0D6F" w:rsidRDefault="00B74BB8" w:rsidP="00620AB3">
      <w:pPr>
        <w:pStyle w:val="Rientrocorpodeltesto"/>
        <w:ind w:firstLine="425"/>
        <w:outlineLvl w:val="0"/>
        <w:rPr>
          <w:szCs w:val="18"/>
          <w:lang w:val="en-US"/>
        </w:rPr>
      </w:pPr>
      <w:r>
        <w:rPr>
          <w:szCs w:val="18"/>
          <w:lang w:val="en-US"/>
        </w:rPr>
        <w:t xml:space="preserve">In this </w:t>
      </w:r>
      <w:r w:rsidR="00620AB3">
        <w:rPr>
          <w:szCs w:val="18"/>
          <w:lang w:val="en-US"/>
        </w:rPr>
        <w:t>contribution,</w:t>
      </w:r>
      <w:r w:rsidRPr="003E0C8A">
        <w:rPr>
          <w:szCs w:val="18"/>
          <w:lang w:val="en-US"/>
        </w:rPr>
        <w:t xml:space="preserve"> we </w:t>
      </w:r>
      <w:r w:rsidR="00C452A1">
        <w:rPr>
          <w:szCs w:val="18"/>
          <w:lang w:val="en-US"/>
        </w:rPr>
        <w:t xml:space="preserve">report </w:t>
      </w:r>
      <w:r w:rsidR="00C452A1" w:rsidRPr="00C452A1">
        <w:rPr>
          <w:szCs w:val="18"/>
          <w:lang w:val="en-US"/>
        </w:rPr>
        <w:t>the design</w:t>
      </w:r>
      <w:r w:rsidR="00C452A1">
        <w:rPr>
          <w:szCs w:val="18"/>
          <w:lang w:val="en-US"/>
        </w:rPr>
        <w:t xml:space="preserve"> and</w:t>
      </w:r>
      <w:r w:rsidR="00C452A1" w:rsidRPr="00C452A1">
        <w:rPr>
          <w:szCs w:val="18"/>
          <w:lang w:val="en-US"/>
        </w:rPr>
        <w:t xml:space="preserve"> </w:t>
      </w:r>
      <w:r w:rsidR="00C452A1">
        <w:rPr>
          <w:szCs w:val="18"/>
          <w:lang w:val="en-US"/>
        </w:rPr>
        <w:t xml:space="preserve">the </w:t>
      </w:r>
      <w:r w:rsidR="00C452A1" w:rsidRPr="00C452A1">
        <w:rPr>
          <w:szCs w:val="18"/>
          <w:lang w:val="en-US"/>
        </w:rPr>
        <w:t>synthesis</w:t>
      </w:r>
      <w:r w:rsidR="00C452A1">
        <w:rPr>
          <w:szCs w:val="18"/>
          <w:lang w:val="en-US"/>
        </w:rPr>
        <w:t xml:space="preserve"> of </w:t>
      </w:r>
      <w:r>
        <w:rPr>
          <w:szCs w:val="18"/>
          <w:lang w:val="en-US"/>
        </w:rPr>
        <w:t>modified</w:t>
      </w:r>
      <w:r w:rsidRPr="003E0C8A">
        <w:rPr>
          <w:szCs w:val="18"/>
          <w:lang w:val="en-US"/>
        </w:rPr>
        <w:t xml:space="preserve"> </w:t>
      </w:r>
      <w:r w:rsidR="00C452A1" w:rsidRPr="003E0C8A">
        <w:rPr>
          <w:szCs w:val="18"/>
          <w:lang w:val="en-US"/>
        </w:rPr>
        <w:t>GW4064</w:t>
      </w:r>
      <w:r w:rsidR="00C452A1">
        <w:rPr>
          <w:szCs w:val="18"/>
          <w:lang w:val="en-US"/>
        </w:rPr>
        <w:t xml:space="preserve"> derivatives</w:t>
      </w:r>
      <w:r>
        <w:rPr>
          <w:szCs w:val="18"/>
          <w:lang w:val="en-US"/>
        </w:rPr>
        <w:t xml:space="preserve">, </w:t>
      </w:r>
      <w:r w:rsidRPr="003E0C8A">
        <w:rPr>
          <w:szCs w:val="18"/>
          <w:lang w:val="en-US"/>
        </w:rPr>
        <w:t>identify</w:t>
      </w:r>
      <w:r w:rsidR="00C452A1">
        <w:rPr>
          <w:szCs w:val="18"/>
          <w:lang w:val="en-US"/>
        </w:rPr>
        <w:t>ing</w:t>
      </w:r>
      <w:r w:rsidRPr="003E0C8A">
        <w:rPr>
          <w:szCs w:val="18"/>
          <w:lang w:val="en-US"/>
        </w:rPr>
        <w:t xml:space="preserve"> novel isoxazoles endowed with FXR agonistic activity and improved ADME properties. The pharmacological characterization and molecular docking studies allowed the identification of several FXR agonists with nanomolar potency in transactivation and SRC-1 recruitment assays. This characterization resulted in the identification of a potent FXR agonist, </w:t>
      </w:r>
      <w:r>
        <w:rPr>
          <w:szCs w:val="18"/>
          <w:lang w:val="en-US"/>
        </w:rPr>
        <w:t>that prevent</w:t>
      </w:r>
      <w:r w:rsidRPr="003E0C8A">
        <w:rPr>
          <w:szCs w:val="18"/>
          <w:lang w:val="en-US"/>
        </w:rPr>
        <w:t xml:space="preserve"> acute liver failure </w:t>
      </w:r>
      <w:r>
        <w:rPr>
          <w:szCs w:val="18"/>
          <w:lang w:val="en-US"/>
        </w:rPr>
        <w:t xml:space="preserve">in mice </w:t>
      </w:r>
      <w:r w:rsidRPr="003E0C8A">
        <w:rPr>
          <w:szCs w:val="18"/>
          <w:lang w:val="en-US"/>
        </w:rPr>
        <w:t>caused by acetaminophen overdose in an FXR-dependent manner.</w:t>
      </w:r>
    </w:p>
    <w:p w:rsidR="00620AB3" w:rsidRDefault="00620AB3" w:rsidP="00620AB3">
      <w:pPr>
        <w:pStyle w:val="Rientrocorpodeltesto"/>
        <w:ind w:firstLine="425"/>
        <w:outlineLvl w:val="0"/>
        <w:rPr>
          <w:szCs w:val="18"/>
          <w:lang w:val="en-US"/>
        </w:rPr>
      </w:pPr>
    </w:p>
    <w:p w:rsidR="007B0D6F" w:rsidRPr="007B0D6F" w:rsidRDefault="00C31AAD" w:rsidP="007B0D6F">
      <w:pPr>
        <w:pStyle w:val="Rientrocorpodeltesto"/>
        <w:spacing w:line="240" w:lineRule="auto"/>
        <w:ind w:firstLine="0"/>
        <w:outlineLvl w:val="0"/>
        <w:rPr>
          <w:szCs w:val="18"/>
          <w:lang w:val="en-US"/>
        </w:rPr>
      </w:pPr>
      <w:r w:rsidRPr="0030109D">
        <w:rPr>
          <w:b/>
          <w:sz w:val="16"/>
          <w:szCs w:val="16"/>
          <w:lang w:val="de-DE"/>
        </w:rPr>
        <w:t>R</w:t>
      </w:r>
      <w:r w:rsidR="007E0C04" w:rsidRPr="0030109D">
        <w:rPr>
          <w:b/>
          <w:sz w:val="16"/>
          <w:szCs w:val="16"/>
          <w:lang w:val="de-DE"/>
        </w:rPr>
        <w:t>eferences</w:t>
      </w:r>
    </w:p>
    <w:p w:rsidR="007B0D6F" w:rsidRPr="00625189" w:rsidRDefault="007B0D6F" w:rsidP="007B0D6F">
      <w:pPr>
        <w:pStyle w:val="Rientrocorpodeltesto"/>
        <w:spacing w:line="240" w:lineRule="auto"/>
        <w:ind w:firstLine="0"/>
        <w:outlineLvl w:val="0"/>
        <w:rPr>
          <w:sz w:val="16"/>
          <w:szCs w:val="16"/>
          <w:lang w:val="en-US"/>
        </w:rPr>
      </w:pPr>
      <w:r w:rsidRPr="007B0D6F">
        <w:rPr>
          <w:sz w:val="16"/>
          <w:szCs w:val="16"/>
          <w:lang w:val="de-DE"/>
        </w:rPr>
        <w:t>1.</w:t>
      </w:r>
      <w:r w:rsidRPr="00625189">
        <w:rPr>
          <w:sz w:val="16"/>
          <w:szCs w:val="16"/>
          <w:lang w:val="en-US"/>
        </w:rPr>
        <w:t xml:space="preserve"> M. </w:t>
      </w:r>
      <w:proofErr w:type="spellStart"/>
      <w:r w:rsidRPr="00625189">
        <w:rPr>
          <w:sz w:val="16"/>
          <w:szCs w:val="16"/>
          <w:lang w:val="en-US"/>
        </w:rPr>
        <w:t>Makishima</w:t>
      </w:r>
      <w:proofErr w:type="spellEnd"/>
      <w:r w:rsidRPr="00625189">
        <w:rPr>
          <w:sz w:val="16"/>
          <w:szCs w:val="16"/>
          <w:lang w:val="en-US"/>
        </w:rPr>
        <w:t xml:space="preserve"> et al, </w:t>
      </w:r>
      <w:r w:rsidRPr="00625189">
        <w:rPr>
          <w:i/>
          <w:iCs/>
          <w:sz w:val="16"/>
          <w:szCs w:val="16"/>
          <w:lang w:val="en-US"/>
        </w:rPr>
        <w:t>Science</w:t>
      </w:r>
      <w:r w:rsidRPr="00625189">
        <w:rPr>
          <w:sz w:val="16"/>
          <w:szCs w:val="16"/>
          <w:lang w:val="en-US"/>
        </w:rPr>
        <w:t xml:space="preserve"> </w:t>
      </w:r>
      <w:r w:rsidRPr="00625189">
        <w:rPr>
          <w:b/>
          <w:bCs/>
          <w:sz w:val="16"/>
          <w:szCs w:val="16"/>
          <w:lang w:val="en-US"/>
        </w:rPr>
        <w:t>1999</w:t>
      </w:r>
      <w:r w:rsidRPr="00625189">
        <w:rPr>
          <w:sz w:val="16"/>
          <w:szCs w:val="16"/>
          <w:lang w:val="en-US"/>
        </w:rPr>
        <w:t xml:space="preserve">, </w:t>
      </w:r>
      <w:r w:rsidRPr="00625189">
        <w:rPr>
          <w:i/>
          <w:iCs/>
          <w:sz w:val="16"/>
          <w:szCs w:val="16"/>
          <w:lang w:val="en-US"/>
        </w:rPr>
        <w:t>284</w:t>
      </w:r>
      <w:r w:rsidRPr="00625189">
        <w:rPr>
          <w:sz w:val="16"/>
          <w:szCs w:val="16"/>
          <w:lang w:val="en-US"/>
        </w:rPr>
        <w:t>, 1362.</w:t>
      </w:r>
    </w:p>
    <w:p w:rsidR="007B0D6F" w:rsidRPr="007B0D6F" w:rsidRDefault="007B0D6F" w:rsidP="007B0D6F">
      <w:pPr>
        <w:pStyle w:val="Rientrocorpodeltesto"/>
        <w:spacing w:line="240" w:lineRule="auto"/>
        <w:ind w:firstLine="0"/>
        <w:outlineLvl w:val="0"/>
        <w:rPr>
          <w:b/>
          <w:sz w:val="16"/>
          <w:szCs w:val="16"/>
          <w:lang w:val="de-DE"/>
        </w:rPr>
      </w:pPr>
      <w:r w:rsidRPr="00625189">
        <w:rPr>
          <w:sz w:val="16"/>
          <w:szCs w:val="16"/>
          <w:lang w:val="en-US"/>
        </w:rPr>
        <w:t xml:space="preserve">2. C. Stedman et al, </w:t>
      </w:r>
      <w:r w:rsidRPr="00625189">
        <w:rPr>
          <w:i/>
          <w:iCs/>
          <w:sz w:val="16"/>
          <w:szCs w:val="16"/>
          <w:lang w:val="en-US"/>
        </w:rPr>
        <w:t xml:space="preserve">Proc. Natl. Acad. Sci. </w:t>
      </w:r>
      <w:r w:rsidRPr="00625189">
        <w:rPr>
          <w:sz w:val="16"/>
          <w:szCs w:val="16"/>
          <w:lang w:val="en-US"/>
        </w:rPr>
        <w:t xml:space="preserve">USA </w:t>
      </w:r>
      <w:r w:rsidRPr="00625189">
        <w:rPr>
          <w:b/>
          <w:bCs/>
          <w:sz w:val="16"/>
          <w:szCs w:val="16"/>
          <w:lang w:val="en-US"/>
        </w:rPr>
        <w:t>2006</w:t>
      </w:r>
      <w:r w:rsidRPr="00625189">
        <w:rPr>
          <w:sz w:val="16"/>
          <w:szCs w:val="16"/>
          <w:lang w:val="en-US"/>
        </w:rPr>
        <w:t xml:space="preserve">, </w:t>
      </w:r>
      <w:r w:rsidRPr="00625189">
        <w:rPr>
          <w:i/>
          <w:iCs/>
          <w:sz w:val="16"/>
          <w:szCs w:val="16"/>
          <w:lang w:val="en-US"/>
        </w:rPr>
        <w:t>103</w:t>
      </w:r>
      <w:r w:rsidRPr="00625189">
        <w:rPr>
          <w:sz w:val="16"/>
          <w:szCs w:val="16"/>
          <w:lang w:val="en-US"/>
        </w:rPr>
        <w:t>, 11323.</w:t>
      </w:r>
    </w:p>
    <w:p w:rsidR="00ED7BD7" w:rsidRPr="00F55DE3" w:rsidRDefault="007B0D6F" w:rsidP="00F55DE3">
      <w:pPr>
        <w:autoSpaceDE w:val="0"/>
        <w:autoSpaceDN w:val="0"/>
        <w:adjustRightInd w:val="0"/>
        <w:rPr>
          <w:sz w:val="16"/>
          <w:szCs w:val="16"/>
          <w:lang w:val="it-IT"/>
        </w:rPr>
      </w:pPr>
      <w:r w:rsidRPr="00625189">
        <w:rPr>
          <w:sz w:val="16"/>
          <w:szCs w:val="16"/>
        </w:rPr>
        <w:t xml:space="preserve">3. </w:t>
      </w:r>
      <w:r w:rsidRPr="007B0D6F">
        <w:rPr>
          <w:sz w:val="16"/>
          <w:szCs w:val="16"/>
        </w:rPr>
        <w:t xml:space="preserve">C. </w:t>
      </w:r>
      <w:proofErr w:type="spellStart"/>
      <w:r w:rsidRPr="007B0D6F">
        <w:rPr>
          <w:sz w:val="16"/>
          <w:szCs w:val="16"/>
        </w:rPr>
        <w:t>Gege</w:t>
      </w:r>
      <w:proofErr w:type="spellEnd"/>
      <w:r w:rsidRPr="007B0D6F">
        <w:rPr>
          <w:sz w:val="16"/>
          <w:szCs w:val="16"/>
        </w:rPr>
        <w:t xml:space="preserve"> et al, </w:t>
      </w:r>
      <w:r w:rsidRPr="007B0D6F">
        <w:rPr>
          <w:i/>
          <w:sz w:val="16"/>
          <w:szCs w:val="16"/>
        </w:rPr>
        <w:t>Curr. Top. Med. Chem</w:t>
      </w:r>
      <w:r w:rsidRPr="007B0D6F">
        <w:rPr>
          <w:sz w:val="16"/>
          <w:szCs w:val="16"/>
        </w:rPr>
        <w:t xml:space="preserve">. </w:t>
      </w:r>
      <w:r w:rsidRPr="007B0D6F">
        <w:rPr>
          <w:b/>
          <w:sz w:val="16"/>
          <w:szCs w:val="16"/>
        </w:rPr>
        <w:t>2014</w:t>
      </w:r>
      <w:r w:rsidRPr="007B0D6F">
        <w:rPr>
          <w:sz w:val="16"/>
          <w:szCs w:val="16"/>
        </w:rPr>
        <w:t>,</w:t>
      </w:r>
      <w:r>
        <w:rPr>
          <w:sz w:val="16"/>
          <w:szCs w:val="16"/>
        </w:rPr>
        <w:t xml:space="preserve"> </w:t>
      </w:r>
      <w:r w:rsidRPr="007B0D6F">
        <w:rPr>
          <w:i/>
          <w:color w:val="000000"/>
          <w:sz w:val="16"/>
          <w:szCs w:val="16"/>
          <w:shd w:val="clear" w:color="auto" w:fill="FFFFFF"/>
        </w:rPr>
        <w:t>14(19)</w:t>
      </w:r>
      <w:r w:rsidRPr="007B0D6F">
        <w:rPr>
          <w:color w:val="000000"/>
          <w:sz w:val="16"/>
          <w:szCs w:val="16"/>
          <w:shd w:val="clear" w:color="auto" w:fill="FFFFFF"/>
        </w:rPr>
        <w:t>, 2</w:t>
      </w:r>
      <w:bookmarkEnd w:id="0"/>
      <w:r w:rsidRPr="007B0D6F">
        <w:rPr>
          <w:color w:val="000000"/>
          <w:sz w:val="16"/>
          <w:szCs w:val="16"/>
          <w:shd w:val="clear" w:color="auto" w:fill="FFFFFF"/>
        </w:rPr>
        <w:t>143</w:t>
      </w:r>
      <w:r>
        <w:rPr>
          <w:color w:val="000000"/>
          <w:sz w:val="16"/>
          <w:szCs w:val="16"/>
          <w:shd w:val="clear" w:color="auto" w:fill="FFFFFF"/>
        </w:rPr>
        <w:t>.</w:t>
      </w:r>
    </w:p>
    <w:sectPr w:rsidR="00ED7BD7" w:rsidRPr="00F55DE3" w:rsidSect="00E73824">
      <w:footerReference w:type="even" r:id="rId7"/>
      <w:footerReference w:type="default" r:id="rId8"/>
      <w:pgSz w:w="9639" w:h="13608" w:code="177"/>
      <w:pgMar w:top="1474" w:right="1134" w:bottom="1474" w:left="964" w:header="720" w:footer="720" w:gutter="0"/>
      <w:pgNumType w:start="2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83" w:rsidRDefault="00233583">
      <w:r>
        <w:separator/>
      </w:r>
    </w:p>
  </w:endnote>
  <w:endnote w:type="continuationSeparator" w:id="0">
    <w:p w:rsidR="00233583" w:rsidRDefault="0023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A0" w:rsidRDefault="00E352A0">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E352A0" w:rsidRDefault="00E352A0">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A0" w:rsidRDefault="00E352A0">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83" w:rsidRDefault="00233583">
      <w:r>
        <w:separator/>
      </w:r>
    </w:p>
  </w:footnote>
  <w:footnote w:type="continuationSeparator" w:id="0">
    <w:p w:rsidR="00233583" w:rsidRDefault="0023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C9"/>
    <w:multiLevelType w:val="hybridMultilevel"/>
    <w:tmpl w:val="164229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403302"/>
    <w:multiLevelType w:val="hybridMultilevel"/>
    <w:tmpl w:val="34064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02608F"/>
    <w:multiLevelType w:val="hybridMultilevel"/>
    <w:tmpl w:val="58B22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D96FD6"/>
    <w:multiLevelType w:val="hybridMultilevel"/>
    <w:tmpl w:val="5E929E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3E"/>
    <w:rsid w:val="000218AE"/>
    <w:rsid w:val="0012715F"/>
    <w:rsid w:val="00193D20"/>
    <w:rsid w:val="001B10A4"/>
    <w:rsid w:val="001C1838"/>
    <w:rsid w:val="00233583"/>
    <w:rsid w:val="002629B5"/>
    <w:rsid w:val="002E5630"/>
    <w:rsid w:val="002F612F"/>
    <w:rsid w:val="0030109D"/>
    <w:rsid w:val="003166C2"/>
    <w:rsid w:val="00320099"/>
    <w:rsid w:val="0033002B"/>
    <w:rsid w:val="00376EE5"/>
    <w:rsid w:val="003E0C8A"/>
    <w:rsid w:val="003F6EE4"/>
    <w:rsid w:val="00404D2B"/>
    <w:rsid w:val="00416C1D"/>
    <w:rsid w:val="00473727"/>
    <w:rsid w:val="00495846"/>
    <w:rsid w:val="004A1FDC"/>
    <w:rsid w:val="004A20C4"/>
    <w:rsid w:val="00516E91"/>
    <w:rsid w:val="00543E79"/>
    <w:rsid w:val="0056527B"/>
    <w:rsid w:val="00595415"/>
    <w:rsid w:val="005C45AE"/>
    <w:rsid w:val="005C499F"/>
    <w:rsid w:val="005E76E1"/>
    <w:rsid w:val="00602BE4"/>
    <w:rsid w:val="00606DA1"/>
    <w:rsid w:val="00620AB3"/>
    <w:rsid w:val="00625189"/>
    <w:rsid w:val="00646623"/>
    <w:rsid w:val="00690295"/>
    <w:rsid w:val="006B64F6"/>
    <w:rsid w:val="006F5EBE"/>
    <w:rsid w:val="00706FD6"/>
    <w:rsid w:val="0071210C"/>
    <w:rsid w:val="00712D68"/>
    <w:rsid w:val="0072225E"/>
    <w:rsid w:val="00727FBD"/>
    <w:rsid w:val="00774E34"/>
    <w:rsid w:val="007B0D6F"/>
    <w:rsid w:val="007E0C04"/>
    <w:rsid w:val="007F0169"/>
    <w:rsid w:val="008B4E30"/>
    <w:rsid w:val="008D784A"/>
    <w:rsid w:val="008E7A57"/>
    <w:rsid w:val="00915070"/>
    <w:rsid w:val="00916B7E"/>
    <w:rsid w:val="00917E1A"/>
    <w:rsid w:val="009801A0"/>
    <w:rsid w:val="00987F19"/>
    <w:rsid w:val="00A2442F"/>
    <w:rsid w:val="00A51CCB"/>
    <w:rsid w:val="00A550DD"/>
    <w:rsid w:val="00AA7B72"/>
    <w:rsid w:val="00AE10B4"/>
    <w:rsid w:val="00AE30BD"/>
    <w:rsid w:val="00B4113C"/>
    <w:rsid w:val="00B46236"/>
    <w:rsid w:val="00B74BB8"/>
    <w:rsid w:val="00BE4F2C"/>
    <w:rsid w:val="00C008A6"/>
    <w:rsid w:val="00C06633"/>
    <w:rsid w:val="00C3116A"/>
    <w:rsid w:val="00C31AAD"/>
    <w:rsid w:val="00C43C40"/>
    <w:rsid w:val="00C452A1"/>
    <w:rsid w:val="00CA51CA"/>
    <w:rsid w:val="00CC0C5C"/>
    <w:rsid w:val="00CD570B"/>
    <w:rsid w:val="00D0412B"/>
    <w:rsid w:val="00D31F3E"/>
    <w:rsid w:val="00D34721"/>
    <w:rsid w:val="00D35195"/>
    <w:rsid w:val="00D37D97"/>
    <w:rsid w:val="00D40ED2"/>
    <w:rsid w:val="00D7165E"/>
    <w:rsid w:val="00E023E2"/>
    <w:rsid w:val="00E119AE"/>
    <w:rsid w:val="00E352A0"/>
    <w:rsid w:val="00E35E34"/>
    <w:rsid w:val="00E73824"/>
    <w:rsid w:val="00E9579F"/>
    <w:rsid w:val="00ED7BD7"/>
    <w:rsid w:val="00EE0686"/>
    <w:rsid w:val="00EE06B6"/>
    <w:rsid w:val="00EE7E9B"/>
    <w:rsid w:val="00F0136F"/>
    <w:rsid w:val="00F36284"/>
    <w:rsid w:val="00F55DE3"/>
    <w:rsid w:val="00F8588C"/>
    <w:rsid w:val="00FB73ED"/>
    <w:rsid w:val="00FC4313"/>
    <w:rsid w:val="00FE2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FEE5ED-1520-4BD8-8341-17C0791D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n-U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spacing w:line="360" w:lineRule="auto"/>
      <w:ind w:right="-1099"/>
      <w:jc w:val="center"/>
    </w:pPr>
    <w:rPr>
      <w:b/>
      <w:bCs/>
      <w:sz w:val="22"/>
      <w:szCs w:val="36"/>
      <w:lang w:val="en-GB"/>
    </w:rPr>
  </w:style>
  <w:style w:type="paragraph" w:styleId="Rientrocorpodeltesto">
    <w:name w:val="Body Text Indent"/>
    <w:basedOn w:val="Normale"/>
    <w:semiHidden/>
    <w:pPr>
      <w:spacing w:line="360" w:lineRule="auto"/>
      <w:ind w:firstLine="360"/>
      <w:jc w:val="both"/>
    </w:pPr>
    <w:rPr>
      <w:sz w:val="18"/>
      <w:lang w:val="en-GB"/>
    </w:rPr>
  </w:style>
  <w:style w:type="paragraph" w:styleId="Mappadocumento">
    <w:name w:val="Document Map"/>
    <w:basedOn w:val="Normale"/>
    <w:semiHidden/>
    <w:pPr>
      <w:shd w:val="clear" w:color="auto" w:fill="000080"/>
    </w:pPr>
    <w:rPr>
      <w:rFonts w:ascii="Tahoma" w:hAnsi="Tahoma"/>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character" w:styleId="Collegamentoipertestuale">
    <w:name w:val="Hyperlink"/>
    <w:uiPriority w:val="99"/>
    <w:unhideWhenUsed/>
    <w:rsid w:val="003E0C8A"/>
    <w:rPr>
      <w:color w:val="0563C1"/>
      <w:u w:val="single"/>
    </w:rPr>
  </w:style>
  <w:style w:type="character" w:styleId="Menzionenonrisolta">
    <w:name w:val="Unresolved Mention"/>
    <w:uiPriority w:val="99"/>
    <w:semiHidden/>
    <w:unhideWhenUsed/>
    <w:rsid w:val="003E0C8A"/>
    <w:rPr>
      <w:color w:val="605E5C"/>
      <w:shd w:val="clear" w:color="auto" w:fill="E1DFDD"/>
    </w:rPr>
  </w:style>
  <w:style w:type="paragraph" w:customStyle="1" w:styleId="BCAuthorAddress">
    <w:name w:val="BC_Author_Address"/>
    <w:basedOn w:val="Normale"/>
    <w:qFormat/>
    <w:rsid w:val="00473727"/>
    <w:rPr>
      <w:rFonts w:ascii="Arno Pro" w:hAnsi="Arno Pro"/>
      <w:kern w:val="22"/>
      <w:sz w:val="20"/>
      <w:lang w:eastAsia="en-US"/>
    </w:rPr>
  </w:style>
  <w:style w:type="paragraph" w:customStyle="1" w:styleId="Reference2">
    <w:name w:val="Reference 2"/>
    <w:basedOn w:val="Normale"/>
    <w:link w:val="Reference2Carattere"/>
    <w:qFormat/>
    <w:rsid w:val="007B0D6F"/>
    <w:pPr>
      <w:suppressAutoHyphens/>
      <w:spacing w:line="288" w:lineRule="auto"/>
      <w:jc w:val="both"/>
    </w:pPr>
    <w:rPr>
      <w:rFonts w:eastAsia="Calibri"/>
      <w:sz w:val="20"/>
      <w:szCs w:val="22"/>
      <w:lang w:val="en-GB" w:eastAsia="zh-CN"/>
    </w:rPr>
  </w:style>
  <w:style w:type="character" w:customStyle="1" w:styleId="Reference2Carattere">
    <w:name w:val="Reference 2 Carattere"/>
    <w:link w:val="Reference2"/>
    <w:rsid w:val="007B0D6F"/>
    <w:rPr>
      <w:rFonts w:eastAsia="Calibri"/>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Critical Survey Covering the Year 2001:</vt:lpstr>
    </vt:vector>
  </TitlesOfParts>
  <Company>DipOrg</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Survey Covering the Year 2001:</dc:title>
  <dc:subject/>
  <dc:creator>M. Benaglia</dc:creator>
  <cp:keywords/>
  <cp:lastModifiedBy>Simona</cp:lastModifiedBy>
  <cp:revision>2</cp:revision>
  <cp:lastPrinted>2010-03-10T16:11:00Z</cp:lastPrinted>
  <dcterms:created xsi:type="dcterms:W3CDTF">2019-05-14T15:38:00Z</dcterms:created>
  <dcterms:modified xsi:type="dcterms:W3CDTF">2019-05-14T15:38:00Z</dcterms:modified>
</cp:coreProperties>
</file>