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DF930F" w14:textId="77777777" w:rsidR="009758BF" w:rsidRPr="00DD1141" w:rsidRDefault="009758BF" w:rsidP="009758BF">
      <w:pPr>
        <w:pStyle w:val="MDPI11articletype"/>
      </w:pPr>
      <w:r w:rsidRPr="00DD1141">
        <w:t>Article</w:t>
      </w:r>
    </w:p>
    <w:p w14:paraId="7C1981EF" w14:textId="4DB24B8C" w:rsidR="008952D3" w:rsidRPr="00DD1141" w:rsidRDefault="008952D3" w:rsidP="00191D8B">
      <w:pPr>
        <w:pStyle w:val="MDPI12title"/>
        <w:rPr>
          <w:lang w:val="en-GB"/>
        </w:rPr>
      </w:pPr>
      <w:r w:rsidRPr="00DD1141">
        <w:rPr>
          <w:lang w:val="en-GB"/>
        </w:rPr>
        <w:t xml:space="preserve">Comparative </w:t>
      </w:r>
      <w:r w:rsidR="00D84878" w:rsidRPr="00DD1141">
        <w:rPr>
          <w:lang w:val="en-GB"/>
        </w:rPr>
        <w:t xml:space="preserve">Toxicological Evaluation </w:t>
      </w:r>
      <w:r w:rsidRPr="00DD1141">
        <w:rPr>
          <w:lang w:val="en-GB"/>
        </w:rPr>
        <w:t xml:space="preserve">of </w:t>
      </w:r>
      <w:r w:rsidR="00D84878" w:rsidRPr="00DD1141">
        <w:rPr>
          <w:rFonts w:eastAsia="Calibri"/>
          <w:lang w:eastAsia="en-US"/>
        </w:rPr>
        <w:t xml:space="preserve">Tattoo Inks </w:t>
      </w:r>
      <w:r w:rsidRPr="00DD1141">
        <w:rPr>
          <w:rFonts w:eastAsia="Calibri"/>
          <w:bCs/>
          <w:lang w:eastAsia="en-US"/>
        </w:rPr>
        <w:t xml:space="preserve">on </w:t>
      </w:r>
      <w:r w:rsidR="00D84878" w:rsidRPr="00DD1141">
        <w:rPr>
          <w:rFonts w:eastAsia="Calibri"/>
          <w:bCs/>
          <w:lang w:eastAsia="en-US"/>
        </w:rPr>
        <w:t>Two Model Organisms</w:t>
      </w:r>
    </w:p>
    <w:p w14:paraId="799AA5B5" w14:textId="77777777" w:rsidR="008952D3" w:rsidRPr="00A42A14" w:rsidRDefault="008952D3" w:rsidP="00191D8B">
      <w:pPr>
        <w:pStyle w:val="MDPI13authornames"/>
        <w:rPr>
          <w:lang w:val="it-IT"/>
        </w:rPr>
      </w:pPr>
      <w:r w:rsidRPr="00A42A14">
        <w:rPr>
          <w:lang w:val="it-IT"/>
        </w:rPr>
        <w:t>Rosa Carotenuto</w:t>
      </w:r>
      <w:r w:rsidRPr="00A42A14">
        <w:rPr>
          <w:vertAlign w:val="superscript"/>
          <w:lang w:val="it-IT"/>
        </w:rPr>
        <w:t>1</w:t>
      </w:r>
      <w:r w:rsidRPr="00A42A14">
        <w:rPr>
          <w:lang w:val="it-IT"/>
        </w:rPr>
        <w:t>, Chiara Fogliano</w:t>
      </w:r>
      <w:r w:rsidRPr="00A42A14">
        <w:rPr>
          <w:vertAlign w:val="superscript"/>
          <w:lang w:val="it-IT"/>
        </w:rPr>
        <w:t>1</w:t>
      </w:r>
      <w:r w:rsidRPr="00A42A14">
        <w:rPr>
          <w:lang w:val="it-IT"/>
        </w:rPr>
        <w:t>, Mariangela Rienzi</w:t>
      </w:r>
      <w:r w:rsidRPr="00A42A14">
        <w:rPr>
          <w:vertAlign w:val="superscript"/>
          <w:lang w:val="it-IT"/>
        </w:rPr>
        <w:t>1</w:t>
      </w:r>
      <w:r w:rsidRPr="00A42A14">
        <w:rPr>
          <w:lang w:val="it-IT"/>
        </w:rPr>
        <w:t>, Antonietta Siciliano</w:t>
      </w:r>
      <w:r w:rsidRPr="00A42A14">
        <w:rPr>
          <w:vertAlign w:val="superscript"/>
          <w:lang w:val="it-IT"/>
        </w:rPr>
        <w:t>1</w:t>
      </w:r>
      <w:r w:rsidRPr="00A42A14">
        <w:rPr>
          <w:lang w:val="it-IT"/>
        </w:rPr>
        <w:t>, Maria Michela Salvatore</w:t>
      </w:r>
      <w:r w:rsidRPr="00A42A14">
        <w:rPr>
          <w:vertAlign w:val="superscript"/>
          <w:lang w:val="it-IT"/>
        </w:rPr>
        <w:t>2</w:t>
      </w:r>
      <w:r w:rsidRPr="00A42A14">
        <w:rPr>
          <w:lang w:val="it-IT"/>
        </w:rPr>
        <w:t>, Gaetano De Tommaso</w:t>
      </w:r>
      <w:r w:rsidRPr="00A42A14">
        <w:rPr>
          <w:vertAlign w:val="superscript"/>
          <w:lang w:val="it-IT"/>
        </w:rPr>
        <w:t>2</w:t>
      </w:r>
      <w:r w:rsidRPr="00A42A14">
        <w:rPr>
          <w:lang w:val="it-IT"/>
        </w:rPr>
        <w:t>, Giovanna Benvenuto</w:t>
      </w:r>
      <w:r w:rsidRPr="00A42A14">
        <w:rPr>
          <w:vertAlign w:val="superscript"/>
          <w:lang w:val="it-IT"/>
        </w:rPr>
        <w:t>3</w:t>
      </w:r>
      <w:r w:rsidRPr="00A42A14">
        <w:rPr>
          <w:lang w:val="it-IT"/>
        </w:rPr>
        <w:t>, Emilia Galdiero</w:t>
      </w:r>
      <w:r w:rsidRPr="00A42A14">
        <w:rPr>
          <w:vertAlign w:val="superscript"/>
          <w:lang w:val="it-IT"/>
        </w:rPr>
        <w:t>1</w:t>
      </w:r>
      <w:r w:rsidRPr="00A42A14">
        <w:rPr>
          <w:lang w:val="it-IT"/>
        </w:rPr>
        <w:t>*</w:t>
      </w:r>
      <w:r w:rsidR="00191D8B" w:rsidRPr="00A42A14">
        <w:rPr>
          <w:lang w:val="it-IT"/>
        </w:rPr>
        <w:t xml:space="preserve"> and </w:t>
      </w:r>
      <w:r w:rsidRPr="00A42A14">
        <w:rPr>
          <w:lang w:val="it-IT"/>
        </w:rPr>
        <w:t>Marco Guida</w:t>
      </w:r>
      <w:r w:rsidRPr="00A42A14">
        <w:rPr>
          <w:vertAlign w:val="superscript"/>
          <w:lang w:val="it-IT"/>
        </w:rPr>
        <w:t>1</w:t>
      </w:r>
    </w:p>
    <w:p w14:paraId="3CD40292" w14:textId="77777777" w:rsidR="008952D3" w:rsidRPr="00DD1141" w:rsidRDefault="008952D3" w:rsidP="00191D8B">
      <w:pPr>
        <w:pStyle w:val="MDPI16affiliation"/>
        <w:ind w:left="2608" w:firstLine="0"/>
      </w:pPr>
      <w:r w:rsidRPr="00DD1141">
        <w:rPr>
          <w:vertAlign w:val="superscript"/>
        </w:rPr>
        <w:t>1</w:t>
      </w:r>
      <w:r w:rsidRPr="00DD1141">
        <w:t xml:space="preserve"> Department of Biology, University of Naples Federico II, Naples, Italy, </w:t>
      </w:r>
    </w:p>
    <w:p w14:paraId="2C737195" w14:textId="77777777" w:rsidR="008952D3" w:rsidRPr="00DD1141" w:rsidRDefault="008952D3" w:rsidP="00191D8B">
      <w:pPr>
        <w:pStyle w:val="MDPI16affiliation"/>
        <w:ind w:left="2608" w:firstLine="0"/>
        <w:rPr>
          <w:vertAlign w:val="superscript"/>
        </w:rPr>
      </w:pPr>
      <w:r w:rsidRPr="00DD1141">
        <w:rPr>
          <w:vertAlign w:val="superscript"/>
        </w:rPr>
        <w:t>2</w:t>
      </w:r>
      <w:r w:rsidRPr="00DD1141">
        <w:t>Department of Chemical Sciences, University of Naples Federico II, Naples, Italy,</w:t>
      </w:r>
    </w:p>
    <w:p w14:paraId="63D93319" w14:textId="77777777" w:rsidR="008952D3" w:rsidRPr="00A42A14" w:rsidRDefault="008952D3" w:rsidP="00191D8B">
      <w:pPr>
        <w:pStyle w:val="MDPI16affiliation"/>
        <w:ind w:left="2608" w:firstLine="0"/>
        <w:rPr>
          <w:lang w:val="it-IT"/>
        </w:rPr>
      </w:pPr>
      <w:r w:rsidRPr="00A42A14">
        <w:rPr>
          <w:vertAlign w:val="superscript"/>
          <w:lang w:val="it-IT"/>
        </w:rPr>
        <w:t>3</w:t>
      </w:r>
      <w:r w:rsidRPr="00A42A14">
        <w:rPr>
          <w:lang w:val="it-IT"/>
        </w:rPr>
        <w:t>Stazione Zoologica “Anton Dohrn” Naples, Italy</w:t>
      </w:r>
    </w:p>
    <w:p w14:paraId="1E8A3B59" w14:textId="77777777" w:rsidR="008952D3" w:rsidRPr="00DD1141" w:rsidRDefault="008952D3" w:rsidP="00191D8B">
      <w:pPr>
        <w:pStyle w:val="MDPI16affiliation"/>
        <w:ind w:left="2608" w:firstLine="0"/>
      </w:pPr>
      <w:r w:rsidRPr="00DD1141">
        <w:t>*Corresponding author. Tel.: +39 081 679182</w:t>
      </w:r>
      <w:r w:rsidR="00191D8B" w:rsidRPr="00DD1141">
        <w:t xml:space="preserve">, </w:t>
      </w:r>
      <w:r w:rsidRPr="00DD1141">
        <w:rPr>
          <w:rFonts w:cs="Arial"/>
          <w:iCs/>
        </w:rPr>
        <w:t>egaldier@unina.it</w:t>
      </w:r>
    </w:p>
    <w:p w14:paraId="5F983D27" w14:textId="0151C30A" w:rsidR="008952D3" w:rsidRPr="00DD1141" w:rsidRDefault="008952D3" w:rsidP="00463739">
      <w:pPr>
        <w:pStyle w:val="MDPI17abstract"/>
      </w:pPr>
      <w:r w:rsidRPr="00DD1141">
        <w:rPr>
          <w:b/>
        </w:rPr>
        <w:t>Abstract</w:t>
      </w:r>
      <w:r w:rsidR="00463739" w:rsidRPr="00DD1141">
        <w:rPr>
          <w:b/>
        </w:rPr>
        <w:t xml:space="preserve">: </w:t>
      </w:r>
      <w:r w:rsidRPr="00DD1141">
        <w:t xml:space="preserve">Tattoo is a technique that introduces colored substances under the skin in order to color it permanently. Decomposition products of tattoo pigments produces numerous damages for the skin and other organs. We studied the effects of a commercial red ink tattoo, PR170, on </w:t>
      </w:r>
      <w:r w:rsidRPr="00DD1141">
        <w:rPr>
          <w:i/>
        </w:rPr>
        <w:t>Xenopus laevis</w:t>
      </w:r>
      <w:r w:rsidRPr="00DD1141">
        <w:t xml:space="preserve"> embryos and </w:t>
      </w:r>
      <w:r w:rsidRPr="00DD1141">
        <w:rPr>
          <w:i/>
        </w:rPr>
        <w:t>Daphnia magna</w:t>
      </w:r>
      <w:r w:rsidRPr="00DD1141">
        <w:t xml:space="preserve"> nauplii. We used concentrations of 10, 20 and 40 mg/L. For </w:t>
      </w:r>
      <w:r w:rsidRPr="00DD1141">
        <w:rPr>
          <w:i/>
        </w:rPr>
        <w:t>Xenopus</w:t>
      </w:r>
      <w:r w:rsidRPr="00DD1141">
        <w:t xml:space="preserve"> we applied the FETAX protocol analyzing: survival, malformations, growth, heart rate and the expression of genes involved in the development and inflammation. In </w:t>
      </w:r>
      <w:r w:rsidRPr="00DD1141">
        <w:rPr>
          <w:i/>
        </w:rPr>
        <w:t>D. magna</w:t>
      </w:r>
      <w:r w:rsidRPr="00DD1141">
        <w:t xml:space="preserve"> we evaluated the toxicity with Immobilization test. Moreover, we investigated the production of ROS, antioxidant enzymes and the expression of the ATP-binding cassette in both models. Our results indicate thatPR170 pigment has nanoparticles dimensions. PR170 modify the survival of two models and initiated oxidative stress that, probably,produced effects on the inflammatory state and ATP-binding cassette. Deformed embryos were observed in </w:t>
      </w:r>
      <w:r w:rsidRPr="00DD1141">
        <w:rPr>
          <w:i/>
        </w:rPr>
        <w:t>Xenopus</w:t>
      </w:r>
      <w:r w:rsidRPr="00DD1141">
        <w:t>, probably due to the modification of expression of genes involved in development. We think that these effects are due to the accumulation of PR170 and in particular by the presence of the azoic group in the chemical structure of the pigment. Further studies needed to better understand the effects of commercial tattoo inks.</w:t>
      </w:r>
    </w:p>
    <w:p w14:paraId="6E6EE56B" w14:textId="055B369A" w:rsidR="008952D3" w:rsidRPr="00DD1141" w:rsidRDefault="00463739" w:rsidP="00463739">
      <w:pPr>
        <w:pStyle w:val="MDPI18keywords"/>
      </w:pPr>
      <w:r w:rsidRPr="00DD1141">
        <w:rPr>
          <w:b/>
        </w:rPr>
        <w:t>Keywords:</w:t>
      </w:r>
      <w:r w:rsidR="008952D3" w:rsidRPr="00DD1141">
        <w:rPr>
          <w:b/>
          <w:lang w:val="en-GB"/>
        </w:rPr>
        <w:t xml:space="preserve"> </w:t>
      </w:r>
      <w:r w:rsidR="008952D3" w:rsidRPr="00DD1141">
        <w:rPr>
          <w:i/>
          <w:iCs/>
          <w:lang w:val="en-GB"/>
        </w:rPr>
        <w:t>Xenopus laevis</w:t>
      </w:r>
      <w:r w:rsidRPr="00DD1141">
        <w:rPr>
          <w:lang w:val="en-GB"/>
        </w:rPr>
        <w:t xml:space="preserve">; </w:t>
      </w:r>
      <w:r w:rsidR="008952D3" w:rsidRPr="00DD1141">
        <w:rPr>
          <w:lang w:val="en-GB"/>
        </w:rPr>
        <w:t>toxicity</w:t>
      </w:r>
      <w:r w:rsidRPr="00DD1141">
        <w:rPr>
          <w:lang w:val="en-GB"/>
        </w:rPr>
        <w:t xml:space="preserve">; </w:t>
      </w:r>
      <w:r w:rsidR="008952D3" w:rsidRPr="00DD1141">
        <w:rPr>
          <w:i/>
          <w:iCs/>
          <w:lang w:val="en-GB"/>
        </w:rPr>
        <w:t>Daphnia magna</w:t>
      </w:r>
      <w:r w:rsidRPr="00DD1141">
        <w:rPr>
          <w:lang w:val="en-GB"/>
        </w:rPr>
        <w:t xml:space="preserve">; </w:t>
      </w:r>
      <w:r w:rsidR="008952D3" w:rsidRPr="00DD1141">
        <w:rPr>
          <w:lang w:val="en-GB"/>
        </w:rPr>
        <w:t>oxidative stress</w:t>
      </w:r>
      <w:r w:rsidRPr="00DD1141">
        <w:rPr>
          <w:lang w:val="en-GB"/>
        </w:rPr>
        <w:t xml:space="preserve">; </w:t>
      </w:r>
      <w:r w:rsidR="008952D3" w:rsidRPr="00DD1141">
        <w:t>gene expression</w:t>
      </w:r>
      <w:r w:rsidRPr="00DD1141">
        <w:t xml:space="preserve">; </w:t>
      </w:r>
      <w:r w:rsidR="008952D3" w:rsidRPr="00DD1141">
        <w:t xml:space="preserve">multixenobiotic resistance. </w:t>
      </w:r>
    </w:p>
    <w:p w14:paraId="2F643B6C" w14:textId="77777777" w:rsidR="008952D3" w:rsidRPr="00DD1141" w:rsidRDefault="008952D3" w:rsidP="00463739">
      <w:pPr>
        <w:pStyle w:val="MDPI19line"/>
        <w:pBdr>
          <w:bottom w:val="single" w:sz="4" w:space="1" w:color="000000"/>
        </w:pBdr>
        <w:rPr>
          <w:lang w:val="en-GB"/>
        </w:rPr>
      </w:pPr>
    </w:p>
    <w:p w14:paraId="33487A53" w14:textId="590757B4" w:rsidR="008952D3" w:rsidRPr="00DD1141" w:rsidRDefault="005E1BA5" w:rsidP="005E1BA5">
      <w:pPr>
        <w:pStyle w:val="MDPI21heading1"/>
      </w:pPr>
      <w:r w:rsidRPr="00DD1141">
        <w:t xml:space="preserve">1. </w:t>
      </w:r>
      <w:r w:rsidR="008952D3" w:rsidRPr="00DD1141">
        <w:t>Introduction</w:t>
      </w:r>
    </w:p>
    <w:p w14:paraId="7E897EB1" w14:textId="77777777" w:rsidR="008952D3" w:rsidRPr="00DD1141" w:rsidRDefault="008952D3" w:rsidP="005E1BA5">
      <w:pPr>
        <w:pStyle w:val="MDPI31text"/>
        <w:rPr>
          <w:color w:val="auto"/>
          <w:lang w:val="en-GB"/>
        </w:rPr>
      </w:pPr>
      <w:r w:rsidRPr="00DD1141">
        <w:rPr>
          <w:lang w:val="en-GB"/>
        </w:rPr>
        <w:t>The tattoo is a technique that involves the introduction, using a solid needle, of coloured substances under the skin in order tocolour it permanently. In recent years we have been witnessing a growth in the population of Western countries who undergo tattoos. Moreover, the areas of the body subjected to this technique are increasingly larger, covering the entire body as well. Over the years, in addition to the basic black colour, numerous colours have been introduced (mainly white, red, green, yellow and blue). The mixture that is introduced into the dermis, in addition to containing the pigments that give the colour, also contains other substances such as vehicles (water, glycerine and other alcoholic derivatives) and additives (surfactants, polycyclic aromatic hydrocarbons, nanoparticles and polymers) [</w:t>
      </w:r>
      <w:r w:rsidRPr="00DD1141">
        <w:rPr>
          <w:rFonts w:eastAsia="CharisSIL"/>
          <w:lang w:eastAsia="en-US"/>
        </w:rPr>
        <w:t>Hogsberg et al., 2011;</w:t>
      </w:r>
      <w:r w:rsidRPr="00DD1141">
        <w:rPr>
          <w:lang w:val="en-GB"/>
        </w:rPr>
        <w:t>Arl et al., 2019]. The latest generation of tattoo inks mainly contain organic pigments (polycyclic compounds with or without the azo group) and metals as nickel, cobalt, chromium, or lead [Piccinini et al., 2016;</w:t>
      </w:r>
      <w:r w:rsidRPr="00DD1141">
        <w:t>Schreiver et al., 2019;Schreiver and Luch, 2020;</w:t>
      </w:r>
      <w:r w:rsidRPr="00DD1141">
        <w:rPr>
          <w:lang w:val="en-GB"/>
        </w:rPr>
        <w:t xml:space="preserve"> Baumler, 2020], such as chromophores, unspecified additives and contaminants of various types [</w:t>
      </w:r>
      <w:r w:rsidRPr="00DD1141">
        <w:rPr>
          <w:rFonts w:eastAsia="CharisSIL"/>
        </w:rPr>
        <w:t>Laux  et al., 2016;</w:t>
      </w:r>
      <w:r w:rsidRPr="00DD1141">
        <w:rPr>
          <w:lang w:val="en-GB"/>
        </w:rPr>
        <w:t>Arlet al., 2019]. The composition of these elements varies according to the manufacturer and the colour [</w:t>
      </w:r>
      <w:r w:rsidRPr="00DD1141">
        <w:rPr>
          <w:rFonts w:eastAsia="CharisSIL"/>
        </w:rPr>
        <w:t>Laux  et al., 2016;</w:t>
      </w:r>
      <w:r w:rsidRPr="00DD1141">
        <w:rPr>
          <w:lang w:val="en-GB"/>
        </w:rPr>
        <w:t xml:space="preserve">Arl et al., 2019]. Coloured tattoo pigments like PR.22 (red azo pigment)can be decomposed by solar radiation [Engel et al., 2007; Cui et al., 2004; </w:t>
      </w:r>
      <w:bookmarkStart w:id="0" w:name="_GoBack"/>
      <w:bookmarkEnd w:id="0"/>
      <w:r w:rsidRPr="00DD1141">
        <w:rPr>
          <w:lang w:val="en-GB"/>
        </w:rPr>
        <w:t xml:space="preserve">Baumler, 2015] or by </w:t>
      </w:r>
      <w:r w:rsidRPr="00DD1141">
        <w:rPr>
          <w:lang w:val="en-GB"/>
        </w:rPr>
        <w:lastRenderedPageBreak/>
        <w:t>laser light [Vasold et al., 2004; Baumler,2015] producing numerous decomposition products such as 2-methyl-5-nitro-aniline that was shown to cause liver dysfunction [</w:t>
      </w:r>
      <w:r w:rsidRPr="00DD1141">
        <w:t>Shimizu</w:t>
      </w:r>
      <w:r w:rsidRPr="00DD1141">
        <w:rPr>
          <w:lang w:val="en-GB"/>
        </w:rPr>
        <w:t>et al., 2002;Baumler, 2015] or 4-nitro-toluene that was genotoxic in human lymphocyte [</w:t>
      </w:r>
      <w:r w:rsidRPr="00DD1141">
        <w:t>Huang</w:t>
      </w:r>
      <w:r w:rsidRPr="00DD1141">
        <w:rPr>
          <w:lang w:val="en-GB"/>
        </w:rPr>
        <w:t xml:space="preserve"> et al., 1996; Baumler, 2015] or 1,4-dichlorobenzene that induced kidney tumors in male rats and liver tumors in male and female mice [</w:t>
      </w:r>
      <w:r w:rsidRPr="00DD1141">
        <w:t>National Toxicology Program, 1987;</w:t>
      </w:r>
      <w:r w:rsidRPr="00DD1141">
        <w:rPr>
          <w:lang w:val="en-GB"/>
        </w:rPr>
        <w:t xml:space="preserve"> Baumler, 2015] or 2,5-dichloroaniline that was nephrotoxic in rats [Lo et al., 1990; Baumler, 2015]. Part of the injected dyes leave the skin through the wound left by the needles and with sweating, another fraction remains in the dermis as solid pigment particles and a third fraction of ink is removed from the skin via the lymphatic system or blood vessels. Furthermore, some of these substances are removed from the skin by various migrating immune cells such as dendritic cells, for example Langerhans cells in the epidermis [Baumler, 2020]. As a result, tattoo pigments can be found at least in the lymph nodes located next to the tattoo, but can also reach the organs of excretion as the liver or kidneys [Soran et al., 2014; </w:t>
      </w:r>
      <w:r w:rsidRPr="00DD1141">
        <w:t>Balasubramanian</w:t>
      </w:r>
      <w:r w:rsidRPr="00DD1141">
        <w:rPr>
          <w:lang w:val="en-GB"/>
        </w:rPr>
        <w:t xml:space="preserve"> et al., 2013;Baumler, 2020]. Pigment particles of tattoo suspensions have already been found in Kupffer's cells [</w:t>
      </w:r>
      <w:r w:rsidRPr="00DD1141">
        <w:t>Sepehri</w:t>
      </w:r>
      <w:r w:rsidRPr="00DD1141">
        <w:rPr>
          <w:lang w:val="en-GB"/>
        </w:rPr>
        <w:t xml:space="preserve">et al., 2017;Baumler, 2020]. For these reasons, the various dangerous substances present in tattoo inks and in its decomposition products could pose a risk to health not only for the skin but also for other organs [Baumler, 2020; </w:t>
      </w:r>
      <w:r w:rsidRPr="00DD1141">
        <w:t>Schreiver and Luch, 2020</w:t>
      </w:r>
      <w:r w:rsidRPr="00DD1141">
        <w:rPr>
          <w:lang w:val="en-GB"/>
        </w:rPr>
        <w:t>]. Consequently, people who undergo extensive tattooing risks chronic exposure to the elements contained in the inks, considering also the possibility that the tattoos need to be "refreshed" over time. It is estimated that significant amounts of ink are deposited in the dermis, ranging from about 0.60 to 9.42 mg/cm</w:t>
      </w:r>
      <w:r w:rsidRPr="00DD1141">
        <w:rPr>
          <w:vertAlign w:val="superscript"/>
          <w:lang w:val="en-GB"/>
        </w:rPr>
        <w:t>2</w:t>
      </w:r>
      <w:r w:rsidRPr="00DD1141">
        <w:rPr>
          <w:lang w:val="en-GB"/>
        </w:rPr>
        <w:t xml:space="preserve"> [Engel et al., 2008;Arl et al., 2019]. In humans, mainly bacterial infections and inflammatory responses are associated with tattoos, but tattoo inks have been shown to cause deleterious effects in </w:t>
      </w:r>
      <w:r w:rsidRPr="00DD1141">
        <w:rPr>
          <w:i/>
          <w:lang w:val="en-GB"/>
        </w:rPr>
        <w:t>in vitro</w:t>
      </w:r>
      <w:r w:rsidRPr="00DD1141">
        <w:rPr>
          <w:lang w:val="en-GB"/>
        </w:rPr>
        <w:t xml:space="preserve"> and </w:t>
      </w:r>
      <w:r w:rsidRPr="00DD1141">
        <w:rPr>
          <w:i/>
          <w:lang w:val="en-GB"/>
        </w:rPr>
        <w:t xml:space="preserve">in vivo </w:t>
      </w:r>
      <w:r w:rsidRPr="00DD1141">
        <w:rPr>
          <w:lang w:val="en-GB"/>
        </w:rPr>
        <w:t xml:space="preserve">tests [Laux et al., 2016; Islam et al., 2016; Arl et al., 2019]. Indeed, they can be associated with cytotoxicity, oxidative stress and p53 activation, which occurs mainly when using red and yellow inks containing azo pigments [Gopee et al., 2005;Falconi et al., 2009;Hogsberg et al.,2013;Arlet al., 2019]. Arl et al. [2019] investigated the composition and possible toxicological effects of four commercial tattoo inks (blue, green, red and black) on </w:t>
      </w:r>
      <w:r w:rsidRPr="00DD1141">
        <w:rPr>
          <w:i/>
          <w:lang w:val="en-GB"/>
        </w:rPr>
        <w:t>Daphnia magna</w:t>
      </w:r>
      <w:r w:rsidRPr="00DD1141">
        <w:rPr>
          <w:lang w:val="en-GB"/>
        </w:rPr>
        <w:t xml:space="preserve"> and HaCaT cells, they confirmed the presence of organic pigments and nanoparticles in the mixture. They conclude that red ink presented the highest toxicity probably due to the presence of azo groups in the pigments [Arl et al., 2019]. In this context, the use of model organisms for toxicological and environmental studies would be of great help to test the toxicity of commercial tattoo inks. </w:t>
      </w:r>
    </w:p>
    <w:p w14:paraId="7BCE4382" w14:textId="77777777" w:rsidR="008952D3" w:rsidRPr="00DD1141" w:rsidRDefault="008952D3" w:rsidP="005E1BA5">
      <w:pPr>
        <w:pStyle w:val="MDPI31text"/>
        <w:rPr>
          <w:bCs/>
          <w:lang w:val="en-GB"/>
        </w:rPr>
      </w:pPr>
      <w:r w:rsidRPr="00DD1141">
        <w:rPr>
          <w:lang w:val="en-GB"/>
        </w:rPr>
        <w:t xml:space="preserve">The aim of our work is to understand the effects that the accumulation of a commercial red ink tattoo, containing the azo dye </w:t>
      </w:r>
      <w:r w:rsidRPr="00DD1141">
        <w:t xml:space="preserve">naphthol red (also known as pigment red 170 and </w:t>
      </w:r>
      <w:r w:rsidRPr="00DD1141">
        <w:rPr>
          <w:lang w:val="en-GB"/>
        </w:rPr>
        <w:t xml:space="preserve">called PR170 from this point forward), have on two accredited models for toxicological and environmental studies: </w:t>
      </w:r>
      <w:r w:rsidRPr="00DD1141">
        <w:rPr>
          <w:i/>
          <w:lang w:val="en-GB"/>
        </w:rPr>
        <w:t xml:space="preserve">Xenopus laevis </w:t>
      </w:r>
      <w:r w:rsidRPr="00DD1141">
        <w:rPr>
          <w:lang w:val="en-GB"/>
        </w:rPr>
        <w:t xml:space="preserve">embryos and </w:t>
      </w:r>
      <w:r w:rsidRPr="00DD1141">
        <w:rPr>
          <w:i/>
          <w:lang w:val="en-GB"/>
        </w:rPr>
        <w:t xml:space="preserve">Daphnia magna </w:t>
      </w:r>
      <w:r w:rsidRPr="00DD1141">
        <w:rPr>
          <w:lang w:val="en-GB"/>
        </w:rPr>
        <w:t xml:space="preserve">nauplii. </w:t>
      </w:r>
      <w:r w:rsidRPr="00DD1141">
        <w:t xml:space="preserve">Red inks are considered to be among the most dangerous between the tattoo inks [Arl et al., 2019]. We used concentrations of ink considering the quantities used in the tattoo technique [Baumler, 2020]. </w:t>
      </w:r>
      <w:r w:rsidRPr="00DD1141">
        <w:rPr>
          <w:lang w:val="en-GB"/>
        </w:rPr>
        <w:t xml:space="preserve">For </w:t>
      </w:r>
      <w:r w:rsidRPr="00DD1141">
        <w:rPr>
          <w:i/>
          <w:lang w:val="en-GB"/>
        </w:rPr>
        <w:t>Xenopus</w:t>
      </w:r>
      <w:r w:rsidRPr="00DD1141">
        <w:rPr>
          <w:lang w:val="en-GB"/>
        </w:rPr>
        <w:t xml:space="preserve"> we applied the FETAX protocol and analysed some endpoints as survival, malformations, growth and heart rate </w:t>
      </w:r>
      <w:r w:rsidRPr="00DD1141">
        <w:rPr>
          <w:bCs/>
          <w:lang w:val="en-GB"/>
        </w:rPr>
        <w:t xml:space="preserve">[Tussellino et al., 2016; Mouche et al., 2017; Fort and Mathis, 2018]. Moreover, we investigated, uptake, reactive oxygen species (ROS) and antioxidant enzymes, </w:t>
      </w:r>
      <w:r w:rsidRPr="00DD1141">
        <w:rPr>
          <w:rFonts w:eastAsia="Calibri"/>
          <w:lang w:eastAsia="en-US"/>
        </w:rPr>
        <w:t>superoxide dismutase (</w:t>
      </w:r>
      <w:r w:rsidRPr="00DD1141">
        <w:rPr>
          <w:bCs/>
          <w:lang w:val="en-GB"/>
        </w:rPr>
        <w:t xml:space="preserve">SOD) and </w:t>
      </w:r>
      <w:r w:rsidRPr="00DD1141">
        <w:rPr>
          <w:rFonts w:eastAsia="Calibri"/>
          <w:lang w:eastAsia="en-US"/>
        </w:rPr>
        <w:t>catalase</w:t>
      </w:r>
      <w:r w:rsidRPr="00DD1141">
        <w:rPr>
          <w:bCs/>
          <w:lang w:val="en-GB"/>
        </w:rPr>
        <w:t xml:space="preserve"> (CAT) production, and the expression of some genes involved in the embryos development and inflammation. We also evaluated the acute toxicity, uptake, </w:t>
      </w:r>
      <w:r w:rsidRPr="00DD1141">
        <w:rPr>
          <w:rFonts w:eastAsia="Calibri"/>
          <w:lang w:eastAsia="en-US"/>
        </w:rPr>
        <w:t xml:space="preserve">ROS, SOD and CAT production </w:t>
      </w:r>
      <w:r w:rsidRPr="00DD1141">
        <w:rPr>
          <w:bCs/>
          <w:lang w:val="en-GB"/>
        </w:rPr>
        <w:t xml:space="preserve">on </w:t>
      </w:r>
      <w:r w:rsidRPr="00DD1141">
        <w:rPr>
          <w:bCs/>
          <w:i/>
          <w:lang w:val="en-GB"/>
        </w:rPr>
        <w:t xml:space="preserve">D. magna </w:t>
      </w:r>
      <w:r w:rsidRPr="00DD1141">
        <w:rPr>
          <w:bCs/>
          <w:lang w:val="en-GB"/>
        </w:rPr>
        <w:t>nauplii exposed to PR170. The transcription of genes encoding the ATP-binding cassette was also determined in both models.</w:t>
      </w:r>
    </w:p>
    <w:p w14:paraId="418A183A" w14:textId="62D58DDB" w:rsidR="008952D3" w:rsidRPr="00DD1141" w:rsidRDefault="005E1BA5" w:rsidP="005E1BA5">
      <w:pPr>
        <w:pStyle w:val="MDPI21heading1"/>
        <w:rPr>
          <w:lang w:val="en-GB"/>
        </w:rPr>
      </w:pPr>
      <w:r w:rsidRPr="00DD1141">
        <w:rPr>
          <w:lang w:val="en-GB"/>
        </w:rPr>
        <w:t xml:space="preserve">2. </w:t>
      </w:r>
      <w:r w:rsidR="008952D3" w:rsidRPr="00DD1141">
        <w:rPr>
          <w:lang w:val="en-GB"/>
        </w:rPr>
        <w:t xml:space="preserve">Materials and </w:t>
      </w:r>
      <w:r w:rsidRPr="00DD1141">
        <w:rPr>
          <w:lang w:val="en-GB"/>
        </w:rPr>
        <w:t>M</w:t>
      </w:r>
      <w:r w:rsidR="008952D3" w:rsidRPr="00DD1141">
        <w:rPr>
          <w:lang w:val="en-GB"/>
        </w:rPr>
        <w:t xml:space="preserve">ethods </w:t>
      </w:r>
    </w:p>
    <w:p w14:paraId="69D0338C" w14:textId="157500B8" w:rsidR="008952D3" w:rsidRPr="00DD1141" w:rsidRDefault="005E1BA5" w:rsidP="005E1BA5">
      <w:pPr>
        <w:pStyle w:val="MDPI22heading2"/>
        <w:rPr>
          <w:lang w:val="en-GB"/>
        </w:rPr>
      </w:pPr>
      <w:r w:rsidRPr="00DD1141">
        <w:rPr>
          <w:lang w:val="en-GB"/>
        </w:rPr>
        <w:t xml:space="preserve">2.1. </w:t>
      </w:r>
      <w:r w:rsidR="008952D3" w:rsidRPr="00DD1141">
        <w:rPr>
          <w:lang w:val="en-GB"/>
        </w:rPr>
        <w:t>Product</w:t>
      </w:r>
    </w:p>
    <w:p w14:paraId="735670D3" w14:textId="77777777" w:rsidR="008952D3" w:rsidRPr="00DD1141" w:rsidRDefault="008952D3" w:rsidP="005E1BA5">
      <w:pPr>
        <w:pStyle w:val="MDPI31text"/>
        <w:rPr>
          <w:b/>
          <w:bCs/>
        </w:rPr>
      </w:pPr>
      <w:r w:rsidRPr="00DD1141">
        <w:rPr>
          <w:lang w:val="en-GB"/>
        </w:rPr>
        <w:t xml:space="preserve">The red sterile liquid tattoo inkis produced in USA and purchased in Italy and, according to the label, the ink is composed of: water, CI-12475 pigment, corresponding to </w:t>
      </w:r>
      <w:r w:rsidRPr="00DD1141">
        <w:rPr>
          <w:lang w:val="en-GB"/>
        </w:rPr>
        <w:lastRenderedPageBreak/>
        <w:t>PR170, and witch hazel water. The manufacturers decline all responsibility for any allergic responses.</w:t>
      </w:r>
    </w:p>
    <w:p w14:paraId="09735896" w14:textId="007C3411" w:rsidR="008952D3" w:rsidRPr="00DD1141" w:rsidRDefault="005E1BA5" w:rsidP="005E1BA5">
      <w:pPr>
        <w:pStyle w:val="MDPI22heading2"/>
        <w:spacing w:before="240"/>
        <w:rPr>
          <w:lang w:val="en-GB"/>
        </w:rPr>
      </w:pPr>
      <w:r w:rsidRPr="00DD1141">
        <w:t xml:space="preserve">2.2. </w:t>
      </w:r>
      <w:r w:rsidR="008952D3" w:rsidRPr="00DD1141">
        <w:t xml:space="preserve">PR170 </w:t>
      </w:r>
      <w:r w:rsidRPr="00DD1141">
        <w:rPr>
          <w:lang w:val="en-GB"/>
        </w:rPr>
        <w:t>Characterization</w:t>
      </w:r>
    </w:p>
    <w:p w14:paraId="291A3747" w14:textId="77777777" w:rsidR="008952D3" w:rsidRPr="00DD1141" w:rsidRDefault="008952D3" w:rsidP="005E1BA5">
      <w:pPr>
        <w:pStyle w:val="MDPI31text"/>
      </w:pPr>
      <w:r w:rsidRPr="00DD1141">
        <w:t xml:space="preserve">The effective ink particles diameters and their size distributions were measured by transmission electron microscopy </w:t>
      </w:r>
      <w:r w:rsidRPr="00DD1141">
        <w:rPr>
          <w:lang w:val="pt-BR"/>
        </w:rPr>
        <w:t xml:space="preserve">(TEM). </w:t>
      </w:r>
      <w:r w:rsidRPr="00DD1141">
        <w:t xml:space="preserve">Formvar-coated 200 mesh copper grids were used and the excess of liquid was gently blotted using filter paper. Dried grids were directly inserted into a Jeol-JEM1220 (Zeiss) transmission electron microscope operating at 100 kV and images were collected at a magnification of 50,000 using a dedicated CCD. </w:t>
      </w:r>
      <w:r w:rsidRPr="00DD1141">
        <w:rPr>
          <w:bCs/>
        </w:rPr>
        <w:t xml:space="preserve">PR170 particles </w:t>
      </w:r>
      <w:r w:rsidRPr="00DD1141">
        <w:t>were measured on the longest side, and the median, mean and standard deviation were calculated.</w:t>
      </w:r>
    </w:p>
    <w:p w14:paraId="16F60157" w14:textId="24EAC31F" w:rsidR="008952D3" w:rsidRPr="00DD1141" w:rsidRDefault="005E1BA5" w:rsidP="005E1BA5">
      <w:pPr>
        <w:pStyle w:val="MDPI22heading2"/>
        <w:spacing w:before="240"/>
        <w:rPr>
          <w:lang w:val="fr-FR"/>
        </w:rPr>
      </w:pPr>
      <w:r w:rsidRPr="00DD1141">
        <w:rPr>
          <w:lang w:val="fr-FR"/>
        </w:rPr>
        <w:t xml:space="preserve">2.3. </w:t>
      </w:r>
      <w:r w:rsidR="008952D3" w:rsidRPr="00DD1141">
        <w:rPr>
          <w:lang w:val="fr-FR"/>
        </w:rPr>
        <w:t xml:space="preserve">Quantitative </w:t>
      </w:r>
      <w:r w:rsidRPr="00DD1141">
        <w:rPr>
          <w:lang w:val="fr-FR"/>
        </w:rPr>
        <w:t xml:space="preserve">Analysis </w:t>
      </w:r>
      <w:r w:rsidR="008952D3" w:rsidRPr="00DD1141">
        <w:rPr>
          <w:lang w:val="fr-FR"/>
        </w:rPr>
        <w:t xml:space="preserve">of PR170 </w:t>
      </w:r>
    </w:p>
    <w:p w14:paraId="769E1848" w14:textId="77777777" w:rsidR="008952D3" w:rsidRPr="00DD1141" w:rsidRDefault="008952D3" w:rsidP="005E1BA5">
      <w:pPr>
        <w:pStyle w:val="MDPI31text"/>
        <w:rPr>
          <w:iCs/>
        </w:rPr>
      </w:pPr>
      <w:r w:rsidRPr="00DD1141">
        <w:t>According to the label, the tattoo ink contains PR170, water and eventual volatile compounds not specified. Thus, the ink was completely dried with a stream of N</w:t>
      </w:r>
      <w:r w:rsidRPr="00DD1141">
        <w:rPr>
          <w:vertAlign w:val="subscript"/>
        </w:rPr>
        <w:t>2</w:t>
      </w:r>
      <w:r w:rsidRPr="00DD1141">
        <w:t xml:space="preserve"> in order to obtain a powder exclusively constituted by the pigment. A concentrated stock solution (20 mg/L) was prepared by dissolving the required amount of pigment in double distilled water. The standard stock solution was stirred to dissolve the pigment and stored at 4 °C. A number of calibration solutions were prepared in double distilled water at a concentration range of about2–20mg/L, and analyzed by a double beam UV-Vis spectrophotometer (Varian Cary 50, Palo Alto, CA, USA). The calibration plot was constructed by reporting (at each calibration level) the absorbance determined at the wavelength of 580 nm as a function of the known concentration of the analyte (mg/L). Visual inspection of the calibration plot showed a linear dependence of the signal from the concentration. In fact, calibration data could be excellently interpolated with a least square regression line (</w:t>
      </w:r>
      <m:oMath>
        <m:r>
          <w:rPr>
            <w:rFonts w:ascii="Cambria Math" w:hAnsi="Cambria Math"/>
          </w:rPr>
          <m:t>y=a+bx</m:t>
        </m:r>
      </m:oMath>
      <w:r w:rsidRPr="00DD1141">
        <w:rPr>
          <w:rFonts w:eastAsia="等线"/>
        </w:rPr>
        <w:t xml:space="preserve">) in which </w:t>
      </w:r>
      <w:r w:rsidRPr="00DD1141">
        <w:rPr>
          <w:rFonts w:eastAsia="等线"/>
          <w:i/>
          <w:iCs/>
        </w:rPr>
        <w:t>a</w:t>
      </w:r>
      <w:r w:rsidRPr="00DD1141">
        <w:rPr>
          <w:rFonts w:eastAsia="等线"/>
        </w:rPr>
        <w:t xml:space="preserve"> represents the intercept and </w:t>
      </w:r>
      <w:r w:rsidRPr="00DD1141">
        <w:rPr>
          <w:rFonts w:eastAsia="等线"/>
          <w:i/>
          <w:iCs/>
        </w:rPr>
        <w:t>b</w:t>
      </w:r>
      <w:r w:rsidRPr="00DD1141">
        <w:rPr>
          <w:rFonts w:eastAsia="等线"/>
        </w:rPr>
        <w:t xml:space="preserve"> the slope (L/mg) of the least square line through the calibration points. This can be deduced from the determination coefficient (R</w:t>
      </w:r>
      <w:r w:rsidRPr="00DD1141">
        <w:rPr>
          <w:rFonts w:eastAsia="等线"/>
          <w:vertAlign w:val="superscript"/>
        </w:rPr>
        <w:t>2</w:t>
      </w:r>
      <w:r w:rsidRPr="00DD1141">
        <w:rPr>
          <w:rFonts w:eastAsia="等线"/>
        </w:rPr>
        <w:t>) which is very close to one (0.999). From the calibration plots, the intercept and slope were obtained together with the corresponding standard deviations (</w:t>
      </w:r>
      <m:oMath>
        <m:sSub>
          <m:sSubPr>
            <m:ctrlPr>
              <w:rPr>
                <w:rFonts w:ascii="Cambria Math" w:eastAsia="等线" w:hAnsi="Cambria Math"/>
                <w:i/>
                <w:iCs/>
              </w:rPr>
            </m:ctrlPr>
          </m:sSubPr>
          <m:e>
            <m:r>
              <w:rPr>
                <w:rFonts w:ascii="Cambria Math" w:eastAsia="等线" w:hAnsi="Cambria Math"/>
              </w:rPr>
              <m:t>s</m:t>
            </m:r>
          </m:e>
          <m:sub>
            <m:r>
              <w:rPr>
                <w:rFonts w:ascii="Cambria Math" w:eastAsia="等线" w:hAnsi="Cambria Math"/>
              </w:rPr>
              <m:t>a</m:t>
            </m:r>
          </m:sub>
        </m:sSub>
      </m:oMath>
      <w:r w:rsidRPr="00DD1141">
        <w:rPr>
          <w:rFonts w:eastAsia="等线"/>
        </w:rPr>
        <w:t>and</w:t>
      </w:r>
      <m:oMath>
        <m:sSub>
          <m:sSubPr>
            <m:ctrlPr>
              <w:rPr>
                <w:rFonts w:ascii="Cambria Math" w:eastAsia="等线" w:hAnsi="Cambria Math"/>
                <w:i/>
                <w:iCs/>
              </w:rPr>
            </m:ctrlPr>
          </m:sSubPr>
          <m:e>
            <m:r>
              <w:rPr>
                <w:rFonts w:ascii="Cambria Math" w:eastAsia="等线" w:hAnsi="Cambria Math"/>
              </w:rPr>
              <m:t>s</m:t>
            </m:r>
          </m:e>
          <m:sub>
            <m:r>
              <w:rPr>
                <w:rFonts w:ascii="Cambria Math" w:eastAsia="等线" w:hAnsi="Cambria Math"/>
              </w:rPr>
              <m:t>b</m:t>
            </m:r>
          </m:sub>
        </m:sSub>
      </m:oMath>
      <w:r w:rsidRPr="00DD1141">
        <w:rPr>
          <w:rFonts w:eastAsia="等线"/>
        </w:rPr>
        <w:t>) calculated from the calibration data according to standard statistical procedures (Miller and Miller 2018).</w:t>
      </w:r>
      <w:r w:rsidRPr="00DD1141">
        <w:t xml:space="preserve">The standard deviation of the intercept, </w:t>
      </w:r>
      <m:oMath>
        <m:sSub>
          <m:sSubPr>
            <m:ctrlPr>
              <w:rPr>
                <w:rFonts w:ascii="Cambria Math" w:hAnsi="Cambria Math"/>
                <w:i/>
              </w:rPr>
            </m:ctrlPr>
          </m:sSubPr>
          <m:e>
            <m:r>
              <w:rPr>
                <w:rFonts w:ascii="Cambria Math" w:hAnsi="Cambria Math"/>
              </w:rPr>
              <m:t>s</m:t>
            </m:r>
          </m:e>
          <m:sub>
            <m:r>
              <w:rPr>
                <w:rFonts w:ascii="Cambria Math" w:hAnsi="Cambria Math"/>
              </w:rPr>
              <m:t>a</m:t>
            </m:r>
          </m:sub>
        </m:sSub>
      </m:oMath>
      <w:r w:rsidRPr="00DD1141">
        <w:t xml:space="preserve">, is then used to calculate the method detection limit (LOD) according to the formula: </w:t>
      </w:r>
      <m:oMath>
        <m:r>
          <m:rPr>
            <m:sty m:val="p"/>
          </m:rPr>
          <w:rPr>
            <w:rFonts w:ascii="Cambria Math" w:hAnsi="Cambria Math"/>
          </w:rPr>
          <m:t>LOD</m:t>
        </m:r>
        <m:r>
          <w:rPr>
            <w:rFonts w:ascii="Cambria Math" w:hAnsi="Cambria Math"/>
          </w:rPr>
          <m:t xml:space="preserve"> =3.3 × </m:t>
        </m:r>
        <m:sSub>
          <m:sSubPr>
            <m:ctrlPr>
              <w:rPr>
                <w:rFonts w:ascii="Cambria Math" w:hAnsi="Cambria Math"/>
                <w:i/>
                <w:iCs/>
              </w:rPr>
            </m:ctrlPr>
          </m:sSubPr>
          <m:e>
            <m:r>
              <w:rPr>
                <w:rFonts w:ascii="Cambria Math" w:hAnsi="Cambria Math"/>
              </w:rPr>
              <m:t>s</m:t>
            </m:r>
          </m:e>
          <m:sub>
            <m:r>
              <w:rPr>
                <w:rFonts w:ascii="Cambria Math" w:hAnsi="Cambria Math"/>
              </w:rPr>
              <m:t>a</m:t>
            </m:r>
          </m:sub>
        </m:sSub>
        <m:r>
          <w:rPr>
            <w:rFonts w:ascii="Cambria Math" w:hAnsi="Cambria Math"/>
          </w:rPr>
          <m:t>/b</m:t>
        </m:r>
      </m:oMath>
      <w:r w:rsidRPr="00DD1141">
        <w:t xml:space="preserve">; and the quantification limit (LOQ) according to the formula: </w:t>
      </w:r>
      <m:oMath>
        <m:r>
          <m:rPr>
            <m:sty m:val="p"/>
          </m:rPr>
          <w:rPr>
            <w:rFonts w:ascii="Cambria Math" w:hAnsi="Cambria Math"/>
          </w:rPr>
          <m:t>LOQ</m:t>
        </m:r>
        <m:r>
          <w:rPr>
            <w:rFonts w:ascii="Cambria Math" w:hAnsi="Cambria Math"/>
          </w:rPr>
          <m:t xml:space="preserve">= 10 × </m:t>
        </m:r>
        <m:sSub>
          <m:sSubPr>
            <m:ctrlPr>
              <w:rPr>
                <w:rFonts w:ascii="Cambria Math" w:hAnsi="Cambria Math"/>
                <w:i/>
                <w:iCs/>
              </w:rPr>
            </m:ctrlPr>
          </m:sSubPr>
          <m:e>
            <m:r>
              <w:rPr>
                <w:rFonts w:ascii="Cambria Math" w:hAnsi="Cambria Math"/>
              </w:rPr>
              <m:t>s</m:t>
            </m:r>
          </m:e>
          <m:sub>
            <m:r>
              <w:rPr>
                <w:rFonts w:ascii="Cambria Math" w:hAnsi="Cambria Math"/>
              </w:rPr>
              <m:t>a</m:t>
            </m:r>
          </m:sub>
        </m:sSub>
        <m:r>
          <w:rPr>
            <w:rFonts w:ascii="Cambria Math" w:hAnsi="Cambria Math"/>
          </w:rPr>
          <m:t xml:space="preserve">/b </m:t>
        </m:r>
      </m:oMath>
      <w:r w:rsidRPr="00DD1141">
        <w:rPr>
          <w:iCs/>
        </w:rPr>
        <w:t>(Miller and Miller 2018). LOD and LOQ for PR170 were respectively 0.08 and 0.26 mg/L.</w:t>
      </w:r>
    </w:p>
    <w:p w14:paraId="2A166C68" w14:textId="77777777" w:rsidR="008952D3" w:rsidRPr="00DD1141" w:rsidRDefault="008952D3" w:rsidP="005E1BA5">
      <w:pPr>
        <w:pStyle w:val="MDPI31text"/>
        <w:rPr>
          <w:rFonts w:eastAsia="等线"/>
        </w:rPr>
      </w:pPr>
      <w:r w:rsidRPr="00DD1141">
        <w:rPr>
          <w:rFonts w:eastAsia="等线"/>
        </w:rPr>
        <w:t>Test solutions were prepared by dissolving the required volume of the ink in double distilled water. The concentration of PR170 in each solution was determined by UV-Vis analysis as reported above (Table 1).</w:t>
      </w:r>
    </w:p>
    <w:p w14:paraId="39499B23" w14:textId="77777777" w:rsidR="008952D3" w:rsidRPr="00DD1141" w:rsidRDefault="008952D3" w:rsidP="005E1BA5">
      <w:pPr>
        <w:pStyle w:val="MDPI31text"/>
        <w:rPr>
          <w:iCs/>
        </w:rPr>
      </w:pPr>
      <w:r w:rsidRPr="00DD1141">
        <w:rPr>
          <w:rFonts w:eastAsia="等线"/>
        </w:rPr>
        <w:t>For the uptake determination, the quantification of each solution was carried out in four replicates, with all data being calculated and the average values taken to represent</w:t>
      </w:r>
      <w:r w:rsidRPr="00DD1141">
        <w:rPr>
          <w:iCs/>
        </w:rPr>
        <w:t xml:space="preserve"> the result.</w:t>
      </w:r>
    </w:p>
    <w:p w14:paraId="167EAFC5" w14:textId="5158B721" w:rsidR="008952D3" w:rsidRPr="00DD1141" w:rsidRDefault="005E1BA5" w:rsidP="005E1BA5">
      <w:pPr>
        <w:pStyle w:val="MDPI22heading2"/>
        <w:spacing w:before="240"/>
        <w:rPr>
          <w:lang w:val="en-GB"/>
        </w:rPr>
      </w:pPr>
      <w:r w:rsidRPr="00DD1141">
        <w:rPr>
          <w:lang w:val="en-GB"/>
        </w:rPr>
        <w:t xml:space="preserve">2.4. </w:t>
      </w:r>
      <w:r w:rsidR="008952D3" w:rsidRPr="00DD1141">
        <w:rPr>
          <w:lang w:val="en-GB"/>
        </w:rPr>
        <w:t>Animals</w:t>
      </w:r>
    </w:p>
    <w:p w14:paraId="1529E11A" w14:textId="78ECD55F" w:rsidR="008952D3" w:rsidRPr="00DD1141" w:rsidRDefault="005E1BA5" w:rsidP="005E1BA5">
      <w:pPr>
        <w:pStyle w:val="MDPI23heading3"/>
        <w:rPr>
          <w:bCs/>
          <w:color w:val="auto"/>
          <w:lang w:val="en-GB"/>
        </w:rPr>
      </w:pPr>
      <w:r w:rsidRPr="00DD1141">
        <w:rPr>
          <w:lang w:val="en-GB"/>
        </w:rPr>
        <w:t xml:space="preserve">2.4.1. </w:t>
      </w:r>
      <w:r w:rsidR="008952D3" w:rsidRPr="00DD1141">
        <w:rPr>
          <w:lang w:val="en-GB"/>
        </w:rPr>
        <w:t xml:space="preserve">Xenopus </w:t>
      </w:r>
      <w:r w:rsidRPr="00DD1141">
        <w:rPr>
          <w:lang w:val="en-GB"/>
        </w:rPr>
        <w:t>Laevis</w:t>
      </w:r>
    </w:p>
    <w:p w14:paraId="02AD4F55" w14:textId="77777777" w:rsidR="008952D3" w:rsidRPr="00DD1141" w:rsidRDefault="008952D3" w:rsidP="005E1BA5">
      <w:pPr>
        <w:pStyle w:val="MDPI31text"/>
        <w:rPr>
          <w:bCs/>
          <w:color w:val="auto"/>
          <w:lang w:val="en-GB"/>
        </w:rPr>
      </w:pPr>
      <w:r w:rsidRPr="00DD1141">
        <w:rPr>
          <w:i/>
          <w:lang w:val="en-GB"/>
        </w:rPr>
        <w:t xml:space="preserve">X.laevis </w:t>
      </w:r>
      <w:r w:rsidRPr="00DD1141">
        <w:rPr>
          <w:lang w:val="en-GB"/>
        </w:rPr>
        <w:t xml:space="preserve">embryo is a very useful model for toxicological </w:t>
      </w:r>
      <w:r w:rsidRPr="00DD1141">
        <w:t xml:space="preserve">and environmental </w:t>
      </w:r>
      <w:r w:rsidRPr="00DD1141">
        <w:rPr>
          <w:lang w:val="en-GB"/>
        </w:rPr>
        <w:t xml:space="preserve">studies [Carotenuto et al., 2020, Tussellino et al., 2016], but also because the data can be transferred to higher vertebrates, including humans </w:t>
      </w:r>
      <w:r w:rsidRPr="00DD1141">
        <w:t>[Takagi et al., 2013, Session et al., 2016; Tandon et al., 2017]</w:t>
      </w:r>
      <w:r w:rsidRPr="00DD1141">
        <w:rPr>
          <w:lang w:val="en-GB"/>
        </w:rPr>
        <w:t xml:space="preserve">. The experiments can be performed in a short time with a large number of individuals that speed up the studies with small expenses. Moreover </w:t>
      </w:r>
      <w:r w:rsidRPr="00DD1141">
        <w:rPr>
          <w:i/>
        </w:rPr>
        <w:t>X. laevis</w:t>
      </w:r>
      <w:r w:rsidRPr="00DD1141">
        <w:t xml:space="preserve"> development takes place outside the mother's body allowing </w:t>
      </w:r>
      <w:r w:rsidRPr="00DD1141">
        <w:rPr>
          <w:bCs/>
        </w:rPr>
        <w:t xml:space="preserve">an easy </w:t>
      </w:r>
      <w:r w:rsidRPr="00DD1141">
        <w:t>screening of embryonic morphogenesis. The embryos are transparent facilitating the detection of tissue and organ defects [Bonfanti et al., 2020, Tussellino et al., 2016].</w:t>
      </w:r>
    </w:p>
    <w:p w14:paraId="4DC91BC9" w14:textId="77777777" w:rsidR="008952D3" w:rsidRPr="00DD1141" w:rsidRDefault="008952D3" w:rsidP="005E1BA5">
      <w:pPr>
        <w:pStyle w:val="MDPI31text"/>
        <w:rPr>
          <w:lang w:val="en-GB"/>
        </w:rPr>
      </w:pPr>
      <w:r w:rsidRPr="00DD1141">
        <w:rPr>
          <w:lang w:val="en-GB"/>
        </w:rPr>
        <w:t xml:space="preserve">Adult </w:t>
      </w:r>
      <w:r w:rsidRPr="00DD1141">
        <w:rPr>
          <w:i/>
          <w:iCs/>
          <w:lang w:val="en-GB"/>
        </w:rPr>
        <w:t>X. laevis</w:t>
      </w:r>
      <w:r w:rsidRPr="00DD1141">
        <w:rPr>
          <w:lang w:val="en-GB"/>
        </w:rPr>
        <w:t xml:space="preserve"> were obtained from Nasco (Fort Atkinsons, Wisconsin, USA). They were kept and used at the Department of Biology of the University of Naples, Federico II, </w:t>
      </w:r>
      <w:r w:rsidRPr="00DD1141">
        <w:rPr>
          <w:lang w:val="en-GB"/>
        </w:rPr>
        <w:lastRenderedPageBreak/>
        <w:t xml:space="preserve">according to the guidelines and policies dictated by the University Animal Welfare Office in agreement with international rules and in strict accordance with the recommendations in the Guide for the Care and Use of Laboratory Animals of the National Institutes of Health of the Italian Ministry of Health. The protocol was approved by the Committee on the Ethics of Animal Experiments (Centro Servizi Veterinari) of the University of Naples Federico II (Permit Number: 2014/0017970). All procedures were performed according to Italian ministerial authorization (DL 116/92) and European regulations on the protection of animals employed for experimental and other scientific purposes. All trials were adopted to minimize suffering. To obtain eggs, </w:t>
      </w:r>
      <w:r w:rsidRPr="00DD1141">
        <w:rPr>
          <w:i/>
          <w:lang w:val="en-GB"/>
        </w:rPr>
        <w:t>X. laevis</w:t>
      </w:r>
      <w:r w:rsidRPr="00DD1141">
        <w:rPr>
          <w:lang w:val="en-GB"/>
        </w:rPr>
        <w:t xml:space="preserve"> females were injected in the dorsal lymphatic sac with 500 units of Gonase (AMSA) in amphibian Ringer solution (111 mM NaCl, 1.3 mM CaCl</w:t>
      </w:r>
      <w:r w:rsidRPr="00DD1141">
        <w:rPr>
          <w:vertAlign w:val="subscript"/>
          <w:lang w:val="en-GB"/>
        </w:rPr>
        <w:t>2</w:t>
      </w:r>
      <w:r w:rsidRPr="00DD1141">
        <w:rPr>
          <w:lang w:val="en-GB"/>
        </w:rPr>
        <w:t>, 2 mM KCl, 0.8 mM MgSO</w:t>
      </w:r>
      <w:r w:rsidRPr="00DD1141">
        <w:rPr>
          <w:vertAlign w:val="subscript"/>
          <w:lang w:val="en-GB"/>
        </w:rPr>
        <w:t>4</w:t>
      </w:r>
      <w:r w:rsidRPr="00DD1141">
        <w:rPr>
          <w:lang w:val="en-GB"/>
        </w:rPr>
        <w:t>, in 25 mM Hepes, pH 7.8). Fertilized eggs and embryos were obtained by standard insemination methods [Tussellino et al., 2015] and staged according to Nieuwkoop and Faber [1956].</w:t>
      </w:r>
    </w:p>
    <w:p w14:paraId="373BD8CC" w14:textId="43742654" w:rsidR="008952D3" w:rsidRPr="00DD1141" w:rsidRDefault="005E1BA5" w:rsidP="005E1BA5">
      <w:pPr>
        <w:pStyle w:val="MDPI23heading3"/>
        <w:spacing w:before="240"/>
      </w:pPr>
      <w:r w:rsidRPr="00DD1141">
        <w:t xml:space="preserve">2.4.2. </w:t>
      </w:r>
      <w:r w:rsidR="008952D3" w:rsidRPr="00DD1141">
        <w:t xml:space="preserve">Daphnia </w:t>
      </w:r>
      <w:r w:rsidRPr="00DD1141">
        <w:t>Magna</w:t>
      </w:r>
    </w:p>
    <w:p w14:paraId="304F61D4" w14:textId="04F13410" w:rsidR="005E1BA5" w:rsidRPr="00DD1141" w:rsidRDefault="008952D3" w:rsidP="005E1BA5">
      <w:pPr>
        <w:pStyle w:val="MDPI31text"/>
      </w:pPr>
      <w:r w:rsidRPr="00DD1141">
        <w:t xml:space="preserve">Due to their unique advantages, </w:t>
      </w:r>
      <w:r w:rsidRPr="00DD1141">
        <w:rPr>
          <w:i/>
          <w:iCs/>
        </w:rPr>
        <w:t>D. magna</w:t>
      </w:r>
      <w:r w:rsidRPr="00DD1141">
        <w:t xml:space="preserve"> is routinely used as a model organism to determine the toxicity of chemicals for risk assessment. Ephippia of </w:t>
      </w:r>
      <w:r w:rsidRPr="00DD1141">
        <w:rPr>
          <w:i/>
          <w:iCs/>
        </w:rPr>
        <w:t xml:space="preserve">D. magna </w:t>
      </w:r>
      <w:r w:rsidRPr="00DD1141">
        <w:t xml:space="preserve">were originally provided by ECOTOX (Milan, Italy) and a single cloned population was cultured in our lab </w:t>
      </w:r>
      <w:r w:rsidRPr="00DD1141">
        <w:rPr>
          <w:lang w:val="en-GB"/>
        </w:rPr>
        <w:t xml:space="preserve">in ISO medium (ISO, 2012) </w:t>
      </w:r>
      <w:r w:rsidRPr="00DD1141">
        <w:t xml:space="preserve">at temperature of 20 ◦C ± 1 °C. A photoperiod of 16:8 h light - dark cycle was selected. The sensitivity of the </w:t>
      </w:r>
      <w:r w:rsidRPr="00DD1141">
        <w:rPr>
          <w:i/>
          <w:iCs/>
        </w:rPr>
        <w:t>D.  magna</w:t>
      </w:r>
      <w:r w:rsidRPr="00DD1141">
        <w:t xml:space="preserve"> clone was checked every 4 months by exposure to potassium dichromate (ISO, 2012). The high quality health status of the culture was evidenced by the low mortality rate (≤2% per week),and a high reproduction rate (about 10 neonates per day per individual). Daphnids were </w:t>
      </w:r>
      <w:r w:rsidRPr="00DD1141">
        <w:rPr>
          <w:lang w:val="en-GB"/>
        </w:rPr>
        <w:t xml:space="preserve">daily fed with microalgae </w:t>
      </w:r>
      <w:r w:rsidRPr="00DD1141">
        <w:rPr>
          <w:i/>
          <w:iCs/>
          <w:lang w:val="en-GB"/>
        </w:rPr>
        <w:t>Raphidocelis subcapitata</w:t>
      </w:r>
      <w:r w:rsidRPr="00DD1141">
        <w:rPr>
          <w:lang w:val="en-GB"/>
        </w:rPr>
        <w:t xml:space="preserve"> as previously reported. [Galdiero et al., 2016].</w:t>
      </w:r>
    </w:p>
    <w:p w14:paraId="509FCD28" w14:textId="7FF8490B" w:rsidR="008952D3" w:rsidRPr="00DD1141" w:rsidRDefault="005E1BA5" w:rsidP="005E1BA5">
      <w:pPr>
        <w:pStyle w:val="MDPI22heading2"/>
        <w:spacing w:before="240"/>
      </w:pPr>
      <w:r w:rsidRPr="00DD1141">
        <w:t xml:space="preserve">2.5. </w:t>
      </w:r>
      <w:r w:rsidR="008952D3" w:rsidRPr="00DD1141">
        <w:t xml:space="preserve">PR170 </w:t>
      </w:r>
      <w:r w:rsidRPr="00DD1141">
        <w:t>E</w:t>
      </w:r>
      <w:r w:rsidR="008952D3" w:rsidRPr="00DD1141">
        <w:t>xposure</w:t>
      </w:r>
    </w:p>
    <w:p w14:paraId="1D8E4CF4" w14:textId="77777777" w:rsidR="008952D3" w:rsidRPr="00DD1141" w:rsidRDefault="008952D3" w:rsidP="005E1BA5">
      <w:pPr>
        <w:pStyle w:val="MDPI31text"/>
      </w:pPr>
      <w:r w:rsidRPr="00DD1141">
        <w:t xml:space="preserve">Both models, </w:t>
      </w:r>
      <w:r w:rsidRPr="00DD1141">
        <w:rPr>
          <w:i/>
        </w:rPr>
        <w:t xml:space="preserve">Daphnia magna </w:t>
      </w:r>
      <w:r w:rsidRPr="00DD1141">
        <w:t xml:space="preserve">nauplii and </w:t>
      </w:r>
      <w:r w:rsidRPr="00DD1141">
        <w:rPr>
          <w:i/>
        </w:rPr>
        <w:t xml:space="preserve">Xenopus laevis </w:t>
      </w:r>
      <w:r w:rsidRPr="00DD1141">
        <w:t>embryos, were exposed to a concentration of 10, 20 or 40 mg/L of PR170</w:t>
      </w:r>
    </w:p>
    <w:p w14:paraId="772AE2D0" w14:textId="62AE2480" w:rsidR="008952D3" w:rsidRPr="00DD1141" w:rsidRDefault="005E1BA5" w:rsidP="005E1BA5">
      <w:pPr>
        <w:pStyle w:val="MDPI23heading3"/>
        <w:spacing w:before="240"/>
      </w:pPr>
      <w:r w:rsidRPr="00DD1141">
        <w:t xml:space="preserve">2.5.1. </w:t>
      </w:r>
      <w:r w:rsidR="008952D3" w:rsidRPr="00DD1141">
        <w:t xml:space="preserve">Xenopus </w:t>
      </w:r>
      <w:r w:rsidRPr="00DD1141">
        <w:t>L</w:t>
      </w:r>
      <w:r w:rsidR="008952D3" w:rsidRPr="00DD1141">
        <w:t>aevis</w:t>
      </w:r>
    </w:p>
    <w:p w14:paraId="434C2BEA" w14:textId="77777777" w:rsidR="008952D3" w:rsidRPr="00DD1141" w:rsidRDefault="008952D3" w:rsidP="005E1BA5">
      <w:pPr>
        <w:pStyle w:val="MDPI31text"/>
        <w:rPr>
          <w:lang w:val="en-GB"/>
        </w:rPr>
      </w:pPr>
      <w:r w:rsidRPr="00DD1141">
        <w:rPr>
          <w:lang w:val="en-GB"/>
        </w:rPr>
        <w:t>We utilized modified FETAX protocol as in Tussellino et al., 2015.</w:t>
      </w:r>
      <w:r w:rsidRPr="00DD1141">
        <w:t xml:space="preserve"> Embryos were collected and degelled with </w:t>
      </w:r>
      <w:r w:rsidRPr="00DD1141">
        <w:rPr>
          <w:lang w:val="en-GB"/>
        </w:rPr>
        <w:t>β-mercaptoethanol 0.3%</w:t>
      </w:r>
      <w:r w:rsidRPr="00DD1141">
        <w:t xml:space="preserve"> in Ringer solution (pH 9.0). Normally-cleaved embryos at stage 4/8 cells were selected for testing and placed in 10.0-cm glass Petri dishes containing 50 mL of control or test solution. </w:t>
      </w:r>
      <w:r w:rsidRPr="00DD1141">
        <w:rPr>
          <w:lang w:val="en-GB"/>
        </w:rPr>
        <w:t>All embryos were harvested until stage 45 (Nieuwkoop and Faber, 1956).</w:t>
      </w:r>
      <w:r w:rsidRPr="00DD1141">
        <w:t xml:space="preserve"> For each female, the plates were triplicated. All of the Petri dishes were incubated in a thermostatic chamber at 21/22 °C until the end of the test, and each day, the test solutions were renewed and the dead embryos removed. For each experimental group, the number of dead larvae was recorded, and survivors were anaesthetized with MS-222 at 100 mg/L and evaluated for single malformations by examining each specimen under a stereo microscope (Leica, </w:t>
      </w:r>
      <w:r w:rsidRPr="00DD1141">
        <w:rPr>
          <w:lang w:val="en-GB"/>
        </w:rPr>
        <w:t xml:space="preserve">EZ4HD). At stage 40/41, </w:t>
      </w:r>
      <w:r w:rsidRPr="00DD1141">
        <w:rPr>
          <w:i/>
          <w:iCs/>
          <w:lang w:val="en-GB"/>
        </w:rPr>
        <w:t xml:space="preserve">X. laevis </w:t>
      </w:r>
      <w:r w:rsidRPr="00DD1141">
        <w:rPr>
          <w:lang w:val="en-GB"/>
        </w:rPr>
        <w:t xml:space="preserve">embryos opened their mouth, and ingestion became the main route of </w:t>
      </w:r>
      <w:r w:rsidRPr="00DD1141">
        <w:rPr>
          <w:bCs/>
        </w:rPr>
        <w:t xml:space="preserve">PR170 </w:t>
      </w:r>
      <w:r w:rsidRPr="00DD1141">
        <w:rPr>
          <w:lang w:val="en-GB"/>
        </w:rPr>
        <w:t xml:space="preserve">intake. Since in the following days the grazing behaviour of the larvae became very active, the number of ingested particles increased. </w:t>
      </w:r>
    </w:p>
    <w:p w14:paraId="5C3D8EA4" w14:textId="4F5AA629" w:rsidR="008952D3" w:rsidRPr="00DD1141" w:rsidRDefault="005E1BA5" w:rsidP="005E1BA5">
      <w:pPr>
        <w:pStyle w:val="MDPI23heading3"/>
        <w:spacing w:before="240"/>
        <w:rPr>
          <w:lang w:val="en-GB"/>
        </w:rPr>
      </w:pPr>
      <w:r w:rsidRPr="00DD1141">
        <w:rPr>
          <w:lang w:val="en-GB"/>
        </w:rPr>
        <w:t xml:space="preserve">2.5.2. </w:t>
      </w:r>
      <w:r w:rsidR="008952D3" w:rsidRPr="00DD1141">
        <w:rPr>
          <w:lang w:val="en-GB"/>
        </w:rPr>
        <w:t xml:space="preserve">Daphnia </w:t>
      </w:r>
      <w:r w:rsidRPr="00DD1141">
        <w:rPr>
          <w:lang w:val="en-GB"/>
        </w:rPr>
        <w:t>M</w:t>
      </w:r>
      <w:r w:rsidR="008952D3" w:rsidRPr="00DD1141">
        <w:rPr>
          <w:lang w:val="en-GB"/>
        </w:rPr>
        <w:t>agna</w:t>
      </w:r>
    </w:p>
    <w:p w14:paraId="4096133A" w14:textId="77777777" w:rsidR="008952D3" w:rsidRPr="00DD1141" w:rsidRDefault="008952D3" w:rsidP="005E1BA5">
      <w:pPr>
        <w:pStyle w:val="MDPI31text"/>
        <w:rPr>
          <w:lang w:val="en-GB"/>
        </w:rPr>
      </w:pPr>
      <w:r w:rsidRPr="00DD1141">
        <w:rPr>
          <w:lang w:val="en-GB"/>
        </w:rPr>
        <w:t>An acute (48 h) toxicity test was performed according to the ISO test guideline (ISO, 2012) (</w:t>
      </w:r>
      <w:r w:rsidRPr="00DD1141">
        <w:rPr>
          <w:i/>
          <w:lang w:val="en-GB"/>
        </w:rPr>
        <w:t>Daphnia</w:t>
      </w:r>
      <w:r w:rsidRPr="00DD1141">
        <w:rPr>
          <w:lang w:val="en-GB"/>
        </w:rPr>
        <w:t xml:space="preserve"> sp. Immobilization Test), to determine the lethal concentrations of PR170to </w:t>
      </w:r>
      <w:r w:rsidRPr="00DD1141">
        <w:rPr>
          <w:i/>
          <w:lang w:val="en-GB"/>
        </w:rPr>
        <w:t>D. magna.</w:t>
      </w:r>
      <w:r w:rsidRPr="00DD1141">
        <w:rPr>
          <w:lang w:val="en-GB"/>
        </w:rPr>
        <w:t xml:space="preserve"> The daphnids were not fed during the test</w:t>
      </w:r>
      <w:bookmarkStart w:id="1" w:name="_Hlk84321692"/>
      <w:r w:rsidRPr="00DD1141">
        <w:rPr>
          <w:lang w:val="en-GB"/>
        </w:rPr>
        <w:t>.</w:t>
      </w:r>
      <w:bookmarkEnd w:id="1"/>
      <w:r w:rsidRPr="00DD1141">
        <w:rPr>
          <w:lang w:val="en-GB"/>
        </w:rPr>
        <w:t xml:space="preserve"> Groups of 5 neonates (third brood, &lt;24 h old) in 10 ml ISO medium were exposed to the three concentrations of PR170(10, 20, 40 mg/L) for 24/48 h (n = 3 test groups per concentration) (ISO, 2012).After 24and 48 h, immobilization status and abnormal appearance of </w:t>
      </w:r>
      <w:r w:rsidRPr="00DD1141">
        <w:rPr>
          <w:i/>
          <w:lang w:val="en-GB"/>
        </w:rPr>
        <w:t>Daphnia</w:t>
      </w:r>
      <w:r w:rsidRPr="00DD1141">
        <w:rPr>
          <w:lang w:val="en-GB"/>
        </w:rPr>
        <w:t xml:space="preserve"> was checked under stereomicroscope (Leica, EZ4HD). Daphnids were considered immobile if they would not swim within 15 s after gentle agitation.</w:t>
      </w:r>
    </w:p>
    <w:p w14:paraId="540181D1" w14:textId="43E777CE" w:rsidR="008952D3" w:rsidRPr="00DD1141" w:rsidRDefault="005E1BA5" w:rsidP="005E1BA5">
      <w:pPr>
        <w:pStyle w:val="MDPI22heading2"/>
        <w:spacing w:before="240"/>
        <w:rPr>
          <w:lang w:val="en-GB"/>
        </w:rPr>
      </w:pPr>
      <w:r w:rsidRPr="00DD1141">
        <w:rPr>
          <w:lang w:val="en-GB"/>
        </w:rPr>
        <w:lastRenderedPageBreak/>
        <w:t xml:space="preserve">2.6. </w:t>
      </w:r>
      <w:r w:rsidR="008952D3" w:rsidRPr="00DD1141">
        <w:rPr>
          <w:lang w:val="en-GB"/>
        </w:rPr>
        <w:t xml:space="preserve">Xenopus </w:t>
      </w:r>
      <w:r w:rsidRPr="00DD1141">
        <w:rPr>
          <w:lang w:val="en-GB"/>
        </w:rPr>
        <w:t xml:space="preserve">Laevis Phenotype Analysis </w:t>
      </w:r>
      <w:r w:rsidR="008952D3" w:rsidRPr="00DD1141">
        <w:rPr>
          <w:lang w:val="en-GB"/>
        </w:rPr>
        <w:t xml:space="preserve">and </w:t>
      </w:r>
      <w:r w:rsidRPr="00DD1141">
        <w:rPr>
          <w:rFonts w:eastAsia="Calibri"/>
          <w:color w:val="231F20"/>
          <w:lang w:val="en-GB" w:eastAsia="en-US"/>
        </w:rPr>
        <w:t>Histology</w:t>
      </w:r>
    </w:p>
    <w:p w14:paraId="58DDFF79" w14:textId="77777777" w:rsidR="008952D3" w:rsidRPr="00DD1141" w:rsidRDefault="008952D3" w:rsidP="005E1BA5">
      <w:pPr>
        <w:pStyle w:val="MDPI31text"/>
      </w:pPr>
      <w:r w:rsidRPr="00DD1141">
        <w:rPr>
          <w:lang w:val="en-GB"/>
        </w:rPr>
        <w:t xml:space="preserve">The phenotypes of embryos were scored when they had reached stage 45 at circa five days from the beginning of the treatment. We evaluated the survival, malformations, </w:t>
      </w:r>
      <w:bookmarkStart w:id="2" w:name="_Hlk69840256"/>
      <w:r w:rsidRPr="00DD1141">
        <w:rPr>
          <w:lang w:val="en-GB"/>
        </w:rPr>
        <w:t>length and cardiac frequency</w:t>
      </w:r>
      <w:bookmarkEnd w:id="2"/>
      <w:r w:rsidRPr="00DD1141">
        <w:rPr>
          <w:lang w:val="en-GB"/>
        </w:rPr>
        <w:t xml:space="preserve"> of the embryos as in Carotenuto et al., 2016. The embryos survival and phenotype were checked daily. All samples were photographed with </w:t>
      </w:r>
      <w:r w:rsidRPr="00DD1141">
        <w:t>a Leica MZ16F UV stereomicroscope, equipped with a Leica DFC 300Fx camera and IM50 Image Manager Software.</w:t>
      </w:r>
    </w:p>
    <w:p w14:paraId="579EA8E9" w14:textId="77777777" w:rsidR="008952D3" w:rsidRPr="00DD1141" w:rsidRDefault="008952D3" w:rsidP="005E1BA5">
      <w:pPr>
        <w:pStyle w:val="MDPI31text"/>
        <w:rPr>
          <w:rFonts w:eastAsia="Calibri"/>
          <w:lang w:val="en-GB"/>
        </w:rPr>
      </w:pPr>
      <w:r w:rsidRPr="00DD1141">
        <w:rPr>
          <w:rFonts w:eastAsia="Calibri"/>
          <w:lang w:val="en-GB"/>
        </w:rPr>
        <w:t xml:space="preserve">For histology the embryos were performed with standard histological protocols for optical microscopy as in Carotenuto et al., 2020. Briefly, </w:t>
      </w:r>
      <w:r w:rsidRPr="00DD1141">
        <w:rPr>
          <w:rFonts w:eastAsia="Calibri"/>
          <w:color w:val="231F20"/>
          <w:lang w:val="en-GB"/>
        </w:rPr>
        <w:t xml:space="preserve">after euthanasia with 2 mg/L of tricaine (MS-222, SIGMA), </w:t>
      </w:r>
      <w:r w:rsidRPr="00DD1141">
        <w:rPr>
          <w:rFonts w:eastAsia="Calibri"/>
          <w:lang w:val="en-GB"/>
        </w:rPr>
        <w:t>the samples were fixed in Bouin solution for24h, dehydrated and included in paraffin. Sections of 5</w:t>
      </w:r>
      <w:r w:rsidRPr="00DD1141">
        <w:rPr>
          <w:rFonts w:eastAsia="Calibri"/>
        </w:rPr>
        <w:t>μ</w:t>
      </w:r>
      <w:r w:rsidRPr="00DD1141">
        <w:rPr>
          <w:rFonts w:eastAsia="Calibri"/>
          <w:lang w:val="en-GB"/>
        </w:rPr>
        <w:t xml:space="preserve">m, were performed by Hematoxylin-Eosin [Tussellino et al., 2016]. </w:t>
      </w:r>
      <w:r w:rsidRPr="00DD1141">
        <w:rPr>
          <w:rFonts w:eastAsia="Calibri"/>
          <w:color w:val="231F20"/>
          <w:lang w:val="en-GB"/>
        </w:rPr>
        <w:t xml:space="preserve">At least 10 slides of 10 different embryos from each treatment were examined. </w:t>
      </w:r>
      <w:r w:rsidRPr="00DD1141">
        <w:rPr>
          <w:rFonts w:eastAsia="Calibri"/>
          <w:lang w:val="en-GB"/>
        </w:rPr>
        <w:t>The images were acquired with a Zeiss Axiocam Microscope Camera Applied to a Zeiss Axioscope microscope (Germany).</w:t>
      </w:r>
    </w:p>
    <w:p w14:paraId="59F1AE49" w14:textId="6E3344FB" w:rsidR="008952D3" w:rsidRPr="00DD1141" w:rsidRDefault="005E1BA5" w:rsidP="005E1BA5">
      <w:pPr>
        <w:pStyle w:val="MDPI22heading2"/>
        <w:spacing w:before="240"/>
        <w:rPr>
          <w:lang w:val="en-GB"/>
        </w:rPr>
      </w:pPr>
      <w:r w:rsidRPr="00DD1141">
        <w:rPr>
          <w:lang w:val="en-GB"/>
        </w:rPr>
        <w:t xml:space="preserve">2.7. </w:t>
      </w:r>
      <w:r w:rsidR="008952D3" w:rsidRPr="00DD1141">
        <w:rPr>
          <w:lang w:val="en-GB"/>
        </w:rPr>
        <w:t xml:space="preserve">Real-Time PCR </w:t>
      </w:r>
      <w:r w:rsidRPr="00DD1141">
        <w:rPr>
          <w:lang w:val="en-GB"/>
        </w:rPr>
        <w:t>Analysis</w:t>
      </w:r>
    </w:p>
    <w:p w14:paraId="59099A0F" w14:textId="317F2F04" w:rsidR="008952D3" w:rsidRPr="00DD1141" w:rsidRDefault="008952D3" w:rsidP="005E1BA5">
      <w:pPr>
        <w:pStyle w:val="MDPI31text"/>
        <w:rPr>
          <w:lang w:val="en-GB"/>
        </w:rPr>
      </w:pPr>
      <w:r w:rsidRPr="00DD1141">
        <w:rPr>
          <w:lang w:val="en-GB"/>
        </w:rPr>
        <w:t>Target gene mRNA was quantified with quantitative real-time PCR. All analyses were carried out using the Applied Biosystem 7500 Real-Time PCR System and the Power SYBR® Green PCR Master Mix (Life Technologies) in 20</w:t>
      </w:r>
      <w:r w:rsidRPr="00DD1141">
        <w:t>µl</w:t>
      </w:r>
      <w:r w:rsidRPr="00DD1141">
        <w:rPr>
          <w:lang w:val="en-GB"/>
        </w:rPr>
        <w:t xml:space="preserve"> total reaction volume following procedures recommended by the manufacturer. cDNA was synthesized using SuperScript R VILO cDNA synthesis kits (Life Technologies) and 2</w:t>
      </w:r>
      <w:r w:rsidRPr="00DD1141">
        <w:t>µg</w:t>
      </w:r>
      <w:r w:rsidRPr="00DD1141">
        <w:rPr>
          <w:lang w:val="en-GB"/>
        </w:rPr>
        <w:t xml:space="preserve"> of total RNA. Used primers are indicated in table 3. The amplification thermal profile is as follow: 95°C for 3 min (initial DNA denaturation); 40 cycles of 95°C for 15 sec and 60°C for 1 min. A final dissociation curve assay was performed for each reaction to confirm gene-specific amplification.</w:t>
      </w:r>
    </w:p>
    <w:p w14:paraId="3D955D6A" w14:textId="77777777" w:rsidR="00302DA4" w:rsidRPr="00DD1141" w:rsidRDefault="00302DA4" w:rsidP="00302DA4">
      <w:pPr>
        <w:pStyle w:val="MDPI41tablecaption"/>
        <w:ind w:left="425" w:right="425"/>
        <w:jc w:val="center"/>
      </w:pPr>
      <w:r w:rsidRPr="00DD1141">
        <w:rPr>
          <w:b/>
        </w:rPr>
        <w:t xml:space="preserve">Table 3. </w:t>
      </w:r>
      <w:r w:rsidRPr="00DD1141">
        <w:t>Primers.</w:t>
      </w:r>
    </w:p>
    <w:tbl>
      <w:tblPr>
        <w:tblStyle w:val="Grigliatabella"/>
        <w:tblW w:w="0" w:type="auto"/>
        <w:jc w:val="center"/>
        <w:tblBorders>
          <w:top w:val="single" w:sz="8" w:space="0" w:color="auto"/>
          <w:left w:val="none" w:sz="0" w:space="0" w:color="auto"/>
          <w:bottom w:val="single" w:sz="8" w:space="0" w:color="auto"/>
          <w:right w:val="none" w:sz="0" w:space="0" w:color="auto"/>
          <w:insideV w:val="none" w:sz="0" w:space="0" w:color="auto"/>
        </w:tblBorders>
        <w:tblCellMar>
          <w:left w:w="0" w:type="dxa"/>
          <w:right w:w="0" w:type="dxa"/>
        </w:tblCellMar>
        <w:tblLook w:val="04A0" w:firstRow="1" w:lastRow="0" w:firstColumn="1" w:lastColumn="0" w:noHBand="0" w:noVBand="1"/>
      </w:tblPr>
      <w:tblGrid>
        <w:gridCol w:w="4407"/>
        <w:gridCol w:w="3068"/>
        <w:gridCol w:w="2991"/>
      </w:tblGrid>
      <w:tr w:rsidR="005E1BA5" w:rsidRPr="00DD1141" w14:paraId="20B1F16E" w14:textId="77777777" w:rsidTr="005E1BA5">
        <w:trPr>
          <w:jc w:val="center"/>
        </w:trPr>
        <w:tc>
          <w:tcPr>
            <w:tcW w:w="0" w:type="auto"/>
            <w:tcBorders>
              <w:top w:val="single" w:sz="8" w:space="0" w:color="auto"/>
              <w:bottom w:val="single" w:sz="4" w:space="0" w:color="auto"/>
            </w:tcBorders>
            <w:shd w:val="clear" w:color="auto" w:fill="auto"/>
            <w:vAlign w:val="center"/>
          </w:tcPr>
          <w:p w14:paraId="6068103B" w14:textId="60950646" w:rsidR="008952D3" w:rsidRPr="00DD1141" w:rsidRDefault="008952D3" w:rsidP="005E1BA5">
            <w:pPr>
              <w:autoSpaceDE w:val="0"/>
              <w:autoSpaceDN w:val="0"/>
              <w:adjustRightInd w:val="0"/>
              <w:snapToGrid w:val="0"/>
              <w:spacing w:line="240" w:lineRule="auto"/>
              <w:jc w:val="center"/>
              <w:rPr>
                <w:b/>
                <w:bCs/>
                <w:szCs w:val="16"/>
              </w:rPr>
            </w:pPr>
            <w:r w:rsidRPr="00DD1141">
              <w:rPr>
                <w:b/>
                <w:bCs/>
                <w:szCs w:val="16"/>
              </w:rPr>
              <w:t xml:space="preserve">Gene </w:t>
            </w:r>
            <w:r w:rsidR="004443B1" w:rsidRPr="00DD1141">
              <w:rPr>
                <w:b/>
                <w:bCs/>
                <w:szCs w:val="16"/>
              </w:rPr>
              <w:t>Name</w:t>
            </w:r>
          </w:p>
        </w:tc>
        <w:tc>
          <w:tcPr>
            <w:tcW w:w="0" w:type="auto"/>
            <w:tcBorders>
              <w:top w:val="single" w:sz="8" w:space="0" w:color="auto"/>
              <w:bottom w:val="single" w:sz="4" w:space="0" w:color="auto"/>
            </w:tcBorders>
            <w:shd w:val="clear" w:color="auto" w:fill="auto"/>
            <w:vAlign w:val="center"/>
          </w:tcPr>
          <w:p w14:paraId="13439F06" w14:textId="77777777" w:rsidR="008952D3" w:rsidRPr="00DD1141" w:rsidRDefault="008952D3" w:rsidP="005E1BA5">
            <w:pPr>
              <w:autoSpaceDE w:val="0"/>
              <w:autoSpaceDN w:val="0"/>
              <w:adjustRightInd w:val="0"/>
              <w:snapToGrid w:val="0"/>
              <w:spacing w:line="240" w:lineRule="auto"/>
              <w:jc w:val="center"/>
              <w:rPr>
                <w:b/>
                <w:bCs/>
                <w:szCs w:val="16"/>
              </w:rPr>
            </w:pPr>
            <w:r w:rsidRPr="00DD1141">
              <w:rPr>
                <w:b/>
                <w:bCs/>
                <w:szCs w:val="16"/>
              </w:rPr>
              <w:t>Oligo Forward Sequence</w:t>
            </w:r>
          </w:p>
        </w:tc>
        <w:tc>
          <w:tcPr>
            <w:tcW w:w="0" w:type="auto"/>
            <w:tcBorders>
              <w:top w:val="single" w:sz="8" w:space="0" w:color="auto"/>
              <w:bottom w:val="single" w:sz="4" w:space="0" w:color="auto"/>
            </w:tcBorders>
            <w:shd w:val="clear" w:color="auto" w:fill="auto"/>
            <w:vAlign w:val="center"/>
          </w:tcPr>
          <w:p w14:paraId="243858C3" w14:textId="77777777" w:rsidR="008952D3" w:rsidRPr="00DD1141" w:rsidRDefault="008952D3" w:rsidP="005E1BA5">
            <w:pPr>
              <w:autoSpaceDE w:val="0"/>
              <w:autoSpaceDN w:val="0"/>
              <w:adjustRightInd w:val="0"/>
              <w:snapToGrid w:val="0"/>
              <w:spacing w:line="240" w:lineRule="auto"/>
              <w:jc w:val="center"/>
              <w:rPr>
                <w:b/>
                <w:bCs/>
                <w:szCs w:val="16"/>
              </w:rPr>
            </w:pPr>
            <w:r w:rsidRPr="00DD1141">
              <w:rPr>
                <w:b/>
                <w:bCs/>
                <w:szCs w:val="16"/>
              </w:rPr>
              <w:t>Oligo Reverse Sequence</w:t>
            </w:r>
          </w:p>
        </w:tc>
      </w:tr>
      <w:tr w:rsidR="005E1BA5" w:rsidRPr="00DD1141" w14:paraId="36FF8567" w14:textId="77777777" w:rsidTr="005E1BA5">
        <w:trPr>
          <w:jc w:val="center"/>
        </w:trPr>
        <w:tc>
          <w:tcPr>
            <w:tcW w:w="0" w:type="auto"/>
            <w:tcBorders>
              <w:top w:val="single" w:sz="4" w:space="0" w:color="auto"/>
            </w:tcBorders>
            <w:shd w:val="clear" w:color="auto" w:fill="auto"/>
            <w:vAlign w:val="center"/>
          </w:tcPr>
          <w:p w14:paraId="6587D277"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bmp4 - bone morphogenetic protein 4</w:t>
            </w:r>
          </w:p>
        </w:tc>
        <w:tc>
          <w:tcPr>
            <w:tcW w:w="0" w:type="auto"/>
            <w:tcBorders>
              <w:top w:val="single" w:sz="4" w:space="0" w:color="auto"/>
            </w:tcBorders>
            <w:shd w:val="clear" w:color="auto" w:fill="auto"/>
            <w:vAlign w:val="center"/>
          </w:tcPr>
          <w:p w14:paraId="26A20057"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CCTCAGCAGCATTCCAGAGAA</w:t>
            </w:r>
          </w:p>
        </w:tc>
        <w:tc>
          <w:tcPr>
            <w:tcW w:w="0" w:type="auto"/>
            <w:tcBorders>
              <w:top w:val="single" w:sz="4" w:space="0" w:color="auto"/>
            </w:tcBorders>
            <w:shd w:val="clear" w:color="auto" w:fill="auto"/>
            <w:vAlign w:val="center"/>
          </w:tcPr>
          <w:p w14:paraId="2FF3CCAB"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TCCGGTGGAAACCCTCATCC</w:t>
            </w:r>
          </w:p>
        </w:tc>
      </w:tr>
      <w:tr w:rsidR="005E1BA5" w:rsidRPr="00DD1141" w14:paraId="6D39C9FC" w14:textId="77777777" w:rsidTr="005E1BA5">
        <w:trPr>
          <w:jc w:val="center"/>
        </w:trPr>
        <w:tc>
          <w:tcPr>
            <w:tcW w:w="0" w:type="auto"/>
            <w:shd w:val="clear" w:color="auto" w:fill="auto"/>
            <w:vAlign w:val="center"/>
          </w:tcPr>
          <w:p w14:paraId="03AD8CA0"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egr2 - early growth response 2</w:t>
            </w:r>
          </w:p>
        </w:tc>
        <w:tc>
          <w:tcPr>
            <w:tcW w:w="0" w:type="auto"/>
            <w:shd w:val="clear" w:color="auto" w:fill="auto"/>
            <w:vAlign w:val="center"/>
          </w:tcPr>
          <w:p w14:paraId="33F87F30"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AGTAAGACCCCAGTCCACGA</w:t>
            </w:r>
          </w:p>
        </w:tc>
        <w:tc>
          <w:tcPr>
            <w:tcW w:w="0" w:type="auto"/>
            <w:shd w:val="clear" w:color="auto" w:fill="auto"/>
            <w:vAlign w:val="center"/>
          </w:tcPr>
          <w:p w14:paraId="5F341C98"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GCAGTAATCGCAGGCAAAGG</w:t>
            </w:r>
          </w:p>
        </w:tc>
      </w:tr>
      <w:tr w:rsidR="005E1BA5" w:rsidRPr="00DD1141" w14:paraId="7DE9ACB4" w14:textId="77777777" w:rsidTr="005E1BA5">
        <w:trPr>
          <w:jc w:val="center"/>
        </w:trPr>
        <w:tc>
          <w:tcPr>
            <w:tcW w:w="0" w:type="auto"/>
            <w:shd w:val="clear" w:color="auto" w:fill="auto"/>
            <w:vAlign w:val="center"/>
          </w:tcPr>
          <w:p w14:paraId="5D06AF6C"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fgf8 - ﬁbroblast growth factor 8</w:t>
            </w:r>
          </w:p>
        </w:tc>
        <w:tc>
          <w:tcPr>
            <w:tcW w:w="0" w:type="auto"/>
            <w:shd w:val="clear" w:color="auto" w:fill="auto"/>
            <w:vAlign w:val="center"/>
          </w:tcPr>
          <w:p w14:paraId="6484AB35"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CGTTTGGAAGCAGAGTTCGC</w:t>
            </w:r>
          </w:p>
        </w:tc>
        <w:tc>
          <w:tcPr>
            <w:tcW w:w="0" w:type="auto"/>
            <w:shd w:val="clear" w:color="auto" w:fill="auto"/>
            <w:vAlign w:val="center"/>
          </w:tcPr>
          <w:p w14:paraId="50A8FC73"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GTTGCCTTGTCTTCGACCCT</w:t>
            </w:r>
          </w:p>
        </w:tc>
      </w:tr>
      <w:tr w:rsidR="005E1BA5" w:rsidRPr="00DD1141" w14:paraId="70612914" w14:textId="77777777" w:rsidTr="005E1BA5">
        <w:trPr>
          <w:jc w:val="center"/>
        </w:trPr>
        <w:tc>
          <w:tcPr>
            <w:tcW w:w="0" w:type="auto"/>
            <w:shd w:val="clear" w:color="auto" w:fill="auto"/>
            <w:vAlign w:val="center"/>
          </w:tcPr>
          <w:p w14:paraId="089368EF"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odc1 - ornithine decarboxylase</w:t>
            </w:r>
          </w:p>
        </w:tc>
        <w:tc>
          <w:tcPr>
            <w:tcW w:w="0" w:type="auto"/>
            <w:shd w:val="clear" w:color="auto" w:fill="auto"/>
            <w:vAlign w:val="center"/>
          </w:tcPr>
          <w:p w14:paraId="1A2D4FE6"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GTGGCAAGGAATCACCCGAA</w:t>
            </w:r>
          </w:p>
        </w:tc>
        <w:tc>
          <w:tcPr>
            <w:tcW w:w="0" w:type="auto"/>
            <w:shd w:val="clear" w:color="auto" w:fill="auto"/>
            <w:vAlign w:val="center"/>
          </w:tcPr>
          <w:p w14:paraId="575EF170"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TCAAAGACACATCGTGCATC</w:t>
            </w:r>
          </w:p>
        </w:tc>
      </w:tr>
      <w:tr w:rsidR="005E1BA5" w:rsidRPr="00DD1141" w14:paraId="1C23132E" w14:textId="77777777" w:rsidTr="005E1BA5">
        <w:trPr>
          <w:jc w:val="center"/>
        </w:trPr>
        <w:tc>
          <w:tcPr>
            <w:tcW w:w="0" w:type="auto"/>
            <w:shd w:val="clear" w:color="auto" w:fill="auto"/>
            <w:vAlign w:val="center"/>
          </w:tcPr>
          <w:p w14:paraId="5A71EAD6" w14:textId="77777777" w:rsidR="008952D3" w:rsidRPr="00DD1141" w:rsidRDefault="008952D3" w:rsidP="005E1BA5">
            <w:pPr>
              <w:autoSpaceDE w:val="0"/>
              <w:autoSpaceDN w:val="0"/>
              <w:adjustRightInd w:val="0"/>
              <w:snapToGrid w:val="0"/>
              <w:spacing w:line="240" w:lineRule="auto"/>
              <w:jc w:val="center"/>
              <w:rPr>
                <w:szCs w:val="16"/>
              </w:rPr>
            </w:pPr>
            <w:bookmarkStart w:id="3" w:name="_Hlk49777324"/>
            <w:r w:rsidRPr="00DD1141">
              <w:rPr>
                <w:szCs w:val="16"/>
              </w:rPr>
              <w:t>pax6 - paired box protein pax-6</w:t>
            </w:r>
          </w:p>
        </w:tc>
        <w:tc>
          <w:tcPr>
            <w:tcW w:w="0" w:type="auto"/>
            <w:shd w:val="clear" w:color="auto" w:fill="auto"/>
            <w:vAlign w:val="center"/>
          </w:tcPr>
          <w:p w14:paraId="5F4AF645"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CAGAACATCTTTTACCCAGGA</w:t>
            </w:r>
          </w:p>
        </w:tc>
        <w:tc>
          <w:tcPr>
            <w:tcW w:w="0" w:type="auto"/>
            <w:shd w:val="clear" w:color="auto" w:fill="auto"/>
            <w:vAlign w:val="center"/>
          </w:tcPr>
          <w:p w14:paraId="59D6AFCC"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GAATGTGGCTGGGTGTGTTA</w:t>
            </w:r>
          </w:p>
        </w:tc>
      </w:tr>
      <w:bookmarkEnd w:id="3"/>
      <w:tr w:rsidR="005E1BA5" w:rsidRPr="00DD1141" w14:paraId="4AFD5DB7" w14:textId="77777777" w:rsidTr="005E1BA5">
        <w:trPr>
          <w:jc w:val="center"/>
        </w:trPr>
        <w:tc>
          <w:tcPr>
            <w:tcW w:w="0" w:type="auto"/>
            <w:shd w:val="clear" w:color="auto" w:fill="auto"/>
            <w:vAlign w:val="center"/>
          </w:tcPr>
          <w:p w14:paraId="08A39F09"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rax1 - retinal homeobox protein Rx1</w:t>
            </w:r>
          </w:p>
        </w:tc>
        <w:tc>
          <w:tcPr>
            <w:tcW w:w="0" w:type="auto"/>
            <w:shd w:val="clear" w:color="auto" w:fill="auto"/>
            <w:vAlign w:val="center"/>
          </w:tcPr>
          <w:p w14:paraId="0818CF26"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GGAAAGACCTCAAGCGAGTG</w:t>
            </w:r>
          </w:p>
        </w:tc>
        <w:tc>
          <w:tcPr>
            <w:tcW w:w="0" w:type="auto"/>
            <w:shd w:val="clear" w:color="auto" w:fill="auto"/>
            <w:vAlign w:val="center"/>
          </w:tcPr>
          <w:p w14:paraId="3ACFA518"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ATACCTGCACCCTGACCTCG</w:t>
            </w:r>
          </w:p>
        </w:tc>
      </w:tr>
      <w:tr w:rsidR="005E1BA5" w:rsidRPr="00DD1141" w14:paraId="68A26088" w14:textId="77777777" w:rsidTr="005E1BA5">
        <w:trPr>
          <w:jc w:val="center"/>
        </w:trPr>
        <w:tc>
          <w:tcPr>
            <w:tcW w:w="0" w:type="auto"/>
            <w:shd w:val="clear" w:color="auto" w:fill="auto"/>
            <w:vAlign w:val="center"/>
          </w:tcPr>
          <w:p w14:paraId="750100B5"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sox9 - sex determining region Y-box 9</w:t>
            </w:r>
          </w:p>
        </w:tc>
        <w:tc>
          <w:tcPr>
            <w:tcW w:w="0" w:type="auto"/>
            <w:shd w:val="clear" w:color="auto" w:fill="auto"/>
            <w:vAlign w:val="center"/>
          </w:tcPr>
          <w:p w14:paraId="428507AE"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ACGGCGCAGAAAGTCTGTTA</w:t>
            </w:r>
          </w:p>
        </w:tc>
        <w:tc>
          <w:tcPr>
            <w:tcW w:w="0" w:type="auto"/>
            <w:shd w:val="clear" w:color="auto" w:fill="auto"/>
            <w:vAlign w:val="center"/>
          </w:tcPr>
          <w:p w14:paraId="048475A8"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GACATCTGTCTTGGGGGTGG</w:t>
            </w:r>
          </w:p>
        </w:tc>
      </w:tr>
      <w:tr w:rsidR="005E1BA5" w:rsidRPr="00DD1141" w14:paraId="2D364809" w14:textId="77777777" w:rsidTr="005E1BA5">
        <w:trPr>
          <w:jc w:val="center"/>
        </w:trPr>
        <w:tc>
          <w:tcPr>
            <w:tcW w:w="0" w:type="auto"/>
            <w:shd w:val="clear" w:color="auto" w:fill="auto"/>
            <w:vAlign w:val="center"/>
          </w:tcPr>
          <w:p w14:paraId="385E2B95"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 xml:space="preserve">ATPbc – ATP binding cassette, subfamily B member 1 </w:t>
            </w:r>
          </w:p>
        </w:tc>
        <w:tc>
          <w:tcPr>
            <w:tcW w:w="0" w:type="auto"/>
            <w:shd w:val="clear" w:color="auto" w:fill="auto"/>
            <w:vAlign w:val="center"/>
          </w:tcPr>
          <w:p w14:paraId="0FBAB55E"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GGCTGTTGCTGAAGAGGTTC</w:t>
            </w:r>
          </w:p>
        </w:tc>
        <w:tc>
          <w:tcPr>
            <w:tcW w:w="0" w:type="auto"/>
            <w:shd w:val="clear" w:color="auto" w:fill="auto"/>
            <w:vAlign w:val="center"/>
          </w:tcPr>
          <w:p w14:paraId="08CCA082"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ACCATACCAAAAGGCGAGTG</w:t>
            </w:r>
          </w:p>
        </w:tc>
      </w:tr>
      <w:tr w:rsidR="005E1BA5" w:rsidRPr="00DD1141" w14:paraId="25EA1BD0" w14:textId="77777777" w:rsidTr="005E1BA5">
        <w:trPr>
          <w:jc w:val="center"/>
        </w:trPr>
        <w:tc>
          <w:tcPr>
            <w:tcW w:w="0" w:type="auto"/>
            <w:shd w:val="clear" w:color="auto" w:fill="auto"/>
            <w:vAlign w:val="center"/>
          </w:tcPr>
          <w:p w14:paraId="16764C93"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TNFa – tumor necrosis factor alfa</w:t>
            </w:r>
          </w:p>
        </w:tc>
        <w:tc>
          <w:tcPr>
            <w:tcW w:w="0" w:type="auto"/>
            <w:shd w:val="clear" w:color="auto" w:fill="auto"/>
            <w:vAlign w:val="center"/>
          </w:tcPr>
          <w:p w14:paraId="53646BEF"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CAAGCAATGAAAGGGGAAAA</w:t>
            </w:r>
          </w:p>
        </w:tc>
        <w:tc>
          <w:tcPr>
            <w:tcW w:w="0" w:type="auto"/>
            <w:shd w:val="clear" w:color="auto" w:fill="auto"/>
            <w:vAlign w:val="center"/>
          </w:tcPr>
          <w:p w14:paraId="4E8D8312"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TGCAGTCAGGACCTGTGAAG</w:t>
            </w:r>
          </w:p>
        </w:tc>
      </w:tr>
      <w:tr w:rsidR="005E1BA5" w:rsidRPr="00DD1141" w14:paraId="5FE23F9E" w14:textId="77777777" w:rsidTr="005E1BA5">
        <w:trPr>
          <w:jc w:val="center"/>
        </w:trPr>
        <w:tc>
          <w:tcPr>
            <w:tcW w:w="0" w:type="auto"/>
            <w:shd w:val="clear" w:color="auto" w:fill="auto"/>
            <w:vAlign w:val="center"/>
          </w:tcPr>
          <w:p w14:paraId="2139BEF9"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IL1B- interleukin 1 beta</w:t>
            </w:r>
          </w:p>
        </w:tc>
        <w:tc>
          <w:tcPr>
            <w:tcW w:w="0" w:type="auto"/>
            <w:shd w:val="clear" w:color="auto" w:fill="auto"/>
            <w:vAlign w:val="center"/>
          </w:tcPr>
          <w:p w14:paraId="3F602A14"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TGTGCAGATAACCCATGGAA</w:t>
            </w:r>
          </w:p>
        </w:tc>
        <w:tc>
          <w:tcPr>
            <w:tcW w:w="0" w:type="auto"/>
            <w:shd w:val="clear" w:color="auto" w:fill="auto"/>
            <w:vAlign w:val="center"/>
          </w:tcPr>
          <w:p w14:paraId="673B1003"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TGCAGAGCAACAGAAGATGG</w:t>
            </w:r>
          </w:p>
        </w:tc>
      </w:tr>
      <w:tr w:rsidR="005E1BA5" w:rsidRPr="00DD1141" w14:paraId="433732D9" w14:textId="77777777" w:rsidTr="005E1BA5">
        <w:trPr>
          <w:jc w:val="center"/>
        </w:trPr>
        <w:tc>
          <w:tcPr>
            <w:tcW w:w="0" w:type="auto"/>
            <w:shd w:val="clear" w:color="auto" w:fill="auto"/>
            <w:vAlign w:val="center"/>
          </w:tcPr>
          <w:p w14:paraId="05AF8C42"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 xml:space="preserve">p65 – Nf-kB transcription factor family </w:t>
            </w:r>
          </w:p>
        </w:tc>
        <w:tc>
          <w:tcPr>
            <w:tcW w:w="0" w:type="auto"/>
            <w:shd w:val="clear" w:color="auto" w:fill="auto"/>
            <w:vAlign w:val="center"/>
          </w:tcPr>
          <w:p w14:paraId="3AA47D1E"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TGGCTATTGTCTTCCGAACC</w:t>
            </w:r>
          </w:p>
        </w:tc>
        <w:tc>
          <w:tcPr>
            <w:tcW w:w="0" w:type="auto"/>
            <w:shd w:val="clear" w:color="auto" w:fill="auto"/>
            <w:vAlign w:val="center"/>
          </w:tcPr>
          <w:p w14:paraId="5360CA21"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ATATGGTGGGGGTCTCCTTC</w:t>
            </w:r>
          </w:p>
        </w:tc>
      </w:tr>
      <w:tr w:rsidR="005E1BA5" w:rsidRPr="00DD1141" w14:paraId="09F49501" w14:textId="77777777" w:rsidTr="005E1BA5">
        <w:trPr>
          <w:jc w:val="center"/>
        </w:trPr>
        <w:tc>
          <w:tcPr>
            <w:tcW w:w="0" w:type="auto"/>
            <w:shd w:val="clear" w:color="auto" w:fill="auto"/>
            <w:vAlign w:val="center"/>
          </w:tcPr>
          <w:p w14:paraId="37A68706" w14:textId="77777777" w:rsidR="008952D3" w:rsidRPr="00DD1141" w:rsidRDefault="008952D3" w:rsidP="005E1BA5">
            <w:pPr>
              <w:autoSpaceDE w:val="0"/>
              <w:autoSpaceDN w:val="0"/>
              <w:adjustRightInd w:val="0"/>
              <w:snapToGrid w:val="0"/>
              <w:spacing w:line="240" w:lineRule="auto"/>
              <w:jc w:val="center"/>
              <w:rPr>
                <w:szCs w:val="16"/>
              </w:rPr>
            </w:pPr>
            <w:r w:rsidRPr="00DD1141">
              <w:rPr>
                <w:rFonts w:ascii="Symbol" w:hAnsi="Symbol"/>
                <w:szCs w:val="16"/>
              </w:rPr>
              <w:t></w:t>
            </w:r>
            <w:r w:rsidRPr="00DD1141">
              <w:rPr>
                <w:rFonts w:ascii="Symbol" w:hAnsi="Symbol"/>
                <w:szCs w:val="16"/>
              </w:rPr>
              <w:t></w:t>
            </w:r>
            <w:r w:rsidRPr="00DD1141">
              <w:rPr>
                <w:szCs w:val="16"/>
              </w:rPr>
              <w:t xml:space="preserve">actin daphnia </w:t>
            </w:r>
          </w:p>
          <w:p w14:paraId="0A96C301" w14:textId="77777777" w:rsidR="008952D3" w:rsidRPr="00DD1141" w:rsidRDefault="008952D3" w:rsidP="005E1BA5">
            <w:pPr>
              <w:autoSpaceDE w:val="0"/>
              <w:autoSpaceDN w:val="0"/>
              <w:adjustRightInd w:val="0"/>
              <w:snapToGrid w:val="0"/>
              <w:spacing w:line="240" w:lineRule="auto"/>
              <w:jc w:val="center"/>
              <w:rPr>
                <w:szCs w:val="16"/>
              </w:rPr>
            </w:pPr>
          </w:p>
        </w:tc>
        <w:tc>
          <w:tcPr>
            <w:tcW w:w="0" w:type="auto"/>
            <w:shd w:val="clear" w:color="auto" w:fill="auto"/>
            <w:vAlign w:val="center"/>
          </w:tcPr>
          <w:p w14:paraId="54C3BE53"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TTATGAAGGTTACGCCCTGC</w:t>
            </w:r>
          </w:p>
        </w:tc>
        <w:tc>
          <w:tcPr>
            <w:tcW w:w="0" w:type="auto"/>
            <w:shd w:val="clear" w:color="auto" w:fill="auto"/>
            <w:vAlign w:val="center"/>
          </w:tcPr>
          <w:p w14:paraId="7469627F"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GCTGTAACCGCTTCAGTCAA</w:t>
            </w:r>
          </w:p>
        </w:tc>
      </w:tr>
      <w:tr w:rsidR="005E1BA5" w:rsidRPr="00DD1141" w14:paraId="3434693F" w14:textId="77777777" w:rsidTr="005E1BA5">
        <w:trPr>
          <w:jc w:val="center"/>
        </w:trPr>
        <w:tc>
          <w:tcPr>
            <w:tcW w:w="0" w:type="auto"/>
            <w:shd w:val="clear" w:color="auto" w:fill="auto"/>
            <w:vAlign w:val="center"/>
          </w:tcPr>
          <w:p w14:paraId="07050C60"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 xml:space="preserve">abcb1- ATP Binding Cassette Subfamily B Member 1 </w:t>
            </w:r>
          </w:p>
        </w:tc>
        <w:tc>
          <w:tcPr>
            <w:tcW w:w="0" w:type="auto"/>
            <w:shd w:val="clear" w:color="auto" w:fill="auto"/>
            <w:vAlign w:val="center"/>
          </w:tcPr>
          <w:p w14:paraId="67B87D83"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GTATCCAGTGCGGAAGTGGC</w:t>
            </w:r>
          </w:p>
        </w:tc>
        <w:tc>
          <w:tcPr>
            <w:tcW w:w="0" w:type="auto"/>
            <w:shd w:val="clear" w:color="auto" w:fill="auto"/>
            <w:vAlign w:val="center"/>
          </w:tcPr>
          <w:p w14:paraId="2BB40519"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ACAGCGTATCGCTATTGCCC</w:t>
            </w:r>
          </w:p>
        </w:tc>
      </w:tr>
      <w:tr w:rsidR="005E1BA5" w:rsidRPr="00DD1141" w14:paraId="6D952A0C" w14:textId="77777777" w:rsidTr="005E1BA5">
        <w:trPr>
          <w:jc w:val="center"/>
        </w:trPr>
        <w:tc>
          <w:tcPr>
            <w:tcW w:w="0" w:type="auto"/>
            <w:shd w:val="clear" w:color="auto" w:fill="auto"/>
            <w:vAlign w:val="center"/>
          </w:tcPr>
          <w:p w14:paraId="59B67592"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abcc1/3 - ATP Binding Cassette Subfamily C Member 1</w:t>
            </w:r>
          </w:p>
        </w:tc>
        <w:tc>
          <w:tcPr>
            <w:tcW w:w="0" w:type="auto"/>
            <w:shd w:val="clear" w:color="auto" w:fill="auto"/>
            <w:vAlign w:val="center"/>
          </w:tcPr>
          <w:p w14:paraId="47C93A28"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TAGCTCGCGCTCTACTGAGAA</w:t>
            </w:r>
          </w:p>
        </w:tc>
        <w:tc>
          <w:tcPr>
            <w:tcW w:w="0" w:type="auto"/>
            <w:shd w:val="clear" w:color="auto" w:fill="auto"/>
            <w:vAlign w:val="center"/>
          </w:tcPr>
          <w:p w14:paraId="0DC8DB63"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GATCGTCGGTCTCCAGATCG</w:t>
            </w:r>
          </w:p>
        </w:tc>
      </w:tr>
      <w:tr w:rsidR="005E1BA5" w:rsidRPr="00DD1141" w14:paraId="766ED78E" w14:textId="77777777" w:rsidTr="005E1BA5">
        <w:trPr>
          <w:jc w:val="center"/>
        </w:trPr>
        <w:tc>
          <w:tcPr>
            <w:tcW w:w="0" w:type="auto"/>
            <w:shd w:val="clear" w:color="auto" w:fill="auto"/>
            <w:vAlign w:val="center"/>
          </w:tcPr>
          <w:p w14:paraId="0E7AFA56"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abcc4 - ATP Binding Cassette Subfamily C Member 4</w:t>
            </w:r>
          </w:p>
        </w:tc>
        <w:tc>
          <w:tcPr>
            <w:tcW w:w="0" w:type="auto"/>
            <w:shd w:val="clear" w:color="auto" w:fill="auto"/>
            <w:vAlign w:val="center"/>
          </w:tcPr>
          <w:p w14:paraId="1EE25EFB"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CCCGATCCCTTTACGTCGAT</w:t>
            </w:r>
          </w:p>
        </w:tc>
        <w:tc>
          <w:tcPr>
            <w:tcW w:w="0" w:type="auto"/>
            <w:shd w:val="clear" w:color="auto" w:fill="auto"/>
            <w:vAlign w:val="center"/>
          </w:tcPr>
          <w:p w14:paraId="6D627D53"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GGTGGCGTCCTACATGAGTGT</w:t>
            </w:r>
          </w:p>
        </w:tc>
      </w:tr>
      <w:tr w:rsidR="005E1BA5" w:rsidRPr="00DD1141" w14:paraId="1DA5E83B" w14:textId="77777777" w:rsidTr="005E1BA5">
        <w:trPr>
          <w:jc w:val="center"/>
        </w:trPr>
        <w:tc>
          <w:tcPr>
            <w:tcW w:w="0" w:type="auto"/>
            <w:shd w:val="clear" w:color="auto" w:fill="auto"/>
            <w:vAlign w:val="center"/>
          </w:tcPr>
          <w:p w14:paraId="15504CEA"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abcc5 - ATP Binding Cassette Subfamily C Member 5</w:t>
            </w:r>
          </w:p>
        </w:tc>
        <w:tc>
          <w:tcPr>
            <w:tcW w:w="0" w:type="auto"/>
            <w:shd w:val="clear" w:color="auto" w:fill="auto"/>
            <w:vAlign w:val="center"/>
          </w:tcPr>
          <w:p w14:paraId="44A356E5"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CAGTCCAGTCATCGAGAACGG</w:t>
            </w:r>
          </w:p>
        </w:tc>
        <w:tc>
          <w:tcPr>
            <w:tcW w:w="0" w:type="auto"/>
            <w:shd w:val="clear" w:color="auto" w:fill="auto"/>
            <w:vAlign w:val="center"/>
          </w:tcPr>
          <w:p w14:paraId="49495746" w14:textId="77777777" w:rsidR="008952D3" w:rsidRPr="00DD1141" w:rsidRDefault="008952D3" w:rsidP="005E1BA5">
            <w:pPr>
              <w:autoSpaceDE w:val="0"/>
              <w:autoSpaceDN w:val="0"/>
              <w:adjustRightInd w:val="0"/>
              <w:snapToGrid w:val="0"/>
              <w:spacing w:line="240" w:lineRule="auto"/>
              <w:jc w:val="center"/>
              <w:rPr>
                <w:szCs w:val="16"/>
              </w:rPr>
            </w:pPr>
            <w:r w:rsidRPr="00DD1141">
              <w:rPr>
                <w:szCs w:val="16"/>
              </w:rPr>
              <w:t>TGACGCAACAGAGCTCGG</w:t>
            </w:r>
          </w:p>
        </w:tc>
      </w:tr>
    </w:tbl>
    <w:p w14:paraId="7BDC94B1" w14:textId="77777777" w:rsidR="000D1EA5" w:rsidRPr="00DD1141" w:rsidRDefault="000D1EA5">
      <w:pPr>
        <w:spacing w:line="240" w:lineRule="auto"/>
        <w:jc w:val="left"/>
        <w:rPr>
          <w:rFonts w:eastAsia="Times New Roman" w:cs="Cordia New"/>
          <w:noProof w:val="0"/>
          <w:sz w:val="18"/>
          <w:szCs w:val="22"/>
          <w:lang w:eastAsia="de-DE" w:bidi="en-US"/>
        </w:rPr>
      </w:pPr>
      <w:r w:rsidRPr="00DD1141">
        <w:br w:type="page"/>
      </w:r>
    </w:p>
    <w:p w14:paraId="0218ACFB" w14:textId="3080C79F" w:rsidR="008952D3" w:rsidRPr="00DD1141" w:rsidRDefault="000D1EA5" w:rsidP="000D1EA5">
      <w:pPr>
        <w:pStyle w:val="MDPI22heading2"/>
        <w:spacing w:before="240"/>
      </w:pPr>
      <w:r w:rsidRPr="00DD1141">
        <w:lastRenderedPageBreak/>
        <w:t xml:space="preserve">2.8. </w:t>
      </w:r>
      <w:r w:rsidR="008952D3" w:rsidRPr="00DD1141">
        <w:t xml:space="preserve">ROS </w:t>
      </w:r>
      <w:r w:rsidRPr="00DD1141">
        <w:t xml:space="preserve">Production </w:t>
      </w:r>
      <w:r w:rsidR="008952D3" w:rsidRPr="00DD1141">
        <w:t xml:space="preserve">and </w:t>
      </w:r>
      <w:r w:rsidRPr="00DD1141">
        <w:t>Antioxidant Activity Analysis</w:t>
      </w:r>
    </w:p>
    <w:p w14:paraId="07B0CD30" w14:textId="77777777" w:rsidR="008952D3" w:rsidRPr="00DD1141" w:rsidRDefault="008952D3" w:rsidP="000D1EA5">
      <w:pPr>
        <w:pStyle w:val="MDPI31text"/>
      </w:pPr>
      <w:r w:rsidRPr="00DD1141">
        <w:t xml:space="preserve">After each exposure, </w:t>
      </w:r>
      <w:r w:rsidRPr="00DD1141">
        <w:rPr>
          <w:i/>
          <w:iCs/>
        </w:rPr>
        <w:t xml:space="preserve">X. laevis </w:t>
      </w:r>
      <w:r w:rsidRPr="00DD1141">
        <w:t xml:space="preserve">embryos and </w:t>
      </w:r>
      <w:r w:rsidRPr="00DD1141">
        <w:rPr>
          <w:i/>
          <w:iCs/>
        </w:rPr>
        <w:t>D. magna</w:t>
      </w:r>
      <w:r w:rsidRPr="00DD1141">
        <w:t xml:space="preserve"> neonates were collected to analyse ROS production and the activation of antioxidant defence including superoxide dismutase (SOD) and catalase (CAT). Each sample was homogenized with 0.1 mL of 50 mM potassium phosphate buffer solution (PBS) (pH 7.4) using a sterile pestle. Homogenates were centrifuged </w:t>
      </w:r>
      <w:r w:rsidRPr="00DD1141">
        <w:rPr>
          <w:bCs/>
          <w:lang w:val="en-GB"/>
        </w:rPr>
        <w:t>for 20 min at 15,000g (4 °C). The</w:t>
      </w:r>
      <w:r w:rsidRPr="00DD1141">
        <w:t xml:space="preserve"> protein concentration of each sample was measured in three replicates using a spectrophotometer (Hach-Lange DR 5000) according to (Bradford, 1976) method. ROS content and activity of SOD and CAT were measured using Sigma-Aldrich kits according to manufacturer’s similarly to [Galdiero et al., 2016].</w:t>
      </w:r>
    </w:p>
    <w:p w14:paraId="69C1FECB" w14:textId="68D788E8" w:rsidR="008952D3" w:rsidRPr="00DD1141" w:rsidRDefault="000D1EA5" w:rsidP="000D1EA5">
      <w:pPr>
        <w:pStyle w:val="MDPI22heading2"/>
        <w:spacing w:before="240"/>
        <w:rPr>
          <w:lang w:val="en-GB"/>
        </w:rPr>
      </w:pPr>
      <w:r w:rsidRPr="00DD1141">
        <w:rPr>
          <w:lang w:val="en-GB"/>
        </w:rPr>
        <w:t xml:space="preserve">2.9. </w:t>
      </w:r>
      <w:r w:rsidR="008952D3" w:rsidRPr="00DD1141">
        <w:rPr>
          <w:lang w:val="en-GB"/>
        </w:rPr>
        <w:t xml:space="preserve">Statistical </w:t>
      </w:r>
      <w:r w:rsidRPr="00DD1141">
        <w:rPr>
          <w:lang w:val="en-GB"/>
        </w:rPr>
        <w:t>Analysis</w:t>
      </w:r>
    </w:p>
    <w:p w14:paraId="525890A4" w14:textId="77777777" w:rsidR="008952D3" w:rsidRPr="00DD1141" w:rsidRDefault="008952D3" w:rsidP="000D1EA5">
      <w:pPr>
        <w:pStyle w:val="MDPI31text"/>
        <w:rPr>
          <w:bCs/>
          <w:lang w:val="en-GB"/>
        </w:rPr>
      </w:pPr>
      <w:r w:rsidRPr="00DD1141">
        <w:t xml:space="preserve">Statistical analysis was carried out by using a GraphPad Prism 8 software (GraphPad, San Diego, CA, USA). Results are given as mean ± standard error. Differences between control and treatment groups were determined through an unpaired two-tailed Student’s </w:t>
      </w:r>
      <w:r w:rsidRPr="00DD1141">
        <w:rPr>
          <w:i/>
          <w:iCs/>
        </w:rPr>
        <w:t>t</w:t>
      </w:r>
      <w:r w:rsidRPr="00DD1141">
        <w:t xml:space="preserve"> test.</w:t>
      </w:r>
    </w:p>
    <w:p w14:paraId="2AB1D279" w14:textId="77777777" w:rsidR="008952D3" w:rsidRPr="00DD1141" w:rsidRDefault="008952D3" w:rsidP="000D1EA5">
      <w:pPr>
        <w:pStyle w:val="MDPI31text"/>
      </w:pPr>
      <w:r w:rsidRPr="00DD1141">
        <w:rPr>
          <w:lang w:val="en-GB"/>
        </w:rPr>
        <w:t>The percent of embryos death has been verified by Chi-square test and the death distributions were assessed in terms of significance using Mantel-Cox test.</w:t>
      </w:r>
      <w:r w:rsidRPr="00DD1141">
        <w:t xml:space="preserve"> The frequency of malformations were estimated on survival embryos. </w:t>
      </w:r>
      <w:r w:rsidRPr="00DD1141">
        <w:rPr>
          <w:bCs/>
          <w:lang w:val="en-GB"/>
        </w:rPr>
        <w:t xml:space="preserve">All data were examined by Chi-square test using the Fisher’s exact test. </w:t>
      </w:r>
      <w:r w:rsidRPr="00DD1141">
        <w:rPr>
          <w:lang w:val="en-GB"/>
        </w:rPr>
        <w:t xml:space="preserve">Real Time PCR statistical analysis was performed </w:t>
      </w:r>
      <w:r w:rsidRPr="00DD1141">
        <w:t xml:space="preserve">with </w:t>
      </w:r>
      <w:r w:rsidRPr="00DD1141">
        <w:rPr>
          <w:i/>
        </w:rPr>
        <w:t>t-test</w:t>
      </w:r>
      <w:r w:rsidRPr="00DD1141">
        <w:t xml:space="preserve"> Hold Siddak. Differences were considered significant when p &lt; 0.05.</w:t>
      </w:r>
    </w:p>
    <w:p w14:paraId="0959802A" w14:textId="3510E59F" w:rsidR="008952D3" w:rsidRPr="00DD1141" w:rsidRDefault="000D1EA5" w:rsidP="000D1EA5">
      <w:pPr>
        <w:pStyle w:val="MDPI21heading1"/>
      </w:pPr>
      <w:r w:rsidRPr="00DD1141">
        <w:t xml:space="preserve">3. </w:t>
      </w:r>
      <w:r w:rsidR="008952D3" w:rsidRPr="00DD1141">
        <w:t>Results</w:t>
      </w:r>
    </w:p>
    <w:p w14:paraId="49968FAB" w14:textId="1EA41C11" w:rsidR="008952D3" w:rsidRPr="00DD1141" w:rsidRDefault="00172CB0" w:rsidP="00172CB0">
      <w:pPr>
        <w:pStyle w:val="MDPI22heading2"/>
      </w:pPr>
      <w:r w:rsidRPr="00DD1141">
        <w:rPr>
          <w:bCs/>
        </w:rPr>
        <w:t xml:space="preserve">3.1. </w:t>
      </w:r>
      <w:r w:rsidR="008952D3" w:rsidRPr="00DD1141">
        <w:rPr>
          <w:bCs/>
        </w:rPr>
        <w:t xml:space="preserve">PR170 </w:t>
      </w:r>
      <w:r w:rsidR="00B2576A" w:rsidRPr="00DD1141">
        <w:rPr>
          <w:lang w:val="en-GB"/>
        </w:rPr>
        <w:t>h</w:t>
      </w:r>
      <w:r w:rsidRPr="00DD1141">
        <w:rPr>
          <w:lang w:val="en-GB"/>
        </w:rPr>
        <w:t>ad Nanoparticles Dimensions</w:t>
      </w:r>
    </w:p>
    <w:p w14:paraId="30127DBC" w14:textId="77777777" w:rsidR="008952D3" w:rsidRPr="00DD1141" w:rsidRDefault="008952D3" w:rsidP="00172CB0">
      <w:pPr>
        <w:pStyle w:val="MDPI31text"/>
        <w:rPr>
          <w:lang w:val="en-GB"/>
        </w:rPr>
      </w:pPr>
      <w:r w:rsidRPr="00DD1141">
        <w:rPr>
          <w:lang w:val="en-GB"/>
        </w:rPr>
        <w:t xml:space="preserve">Electron microscopy showed that pigment contained in our red tattoo ink had nanoparticles dimensions. These NPs were </w:t>
      </w:r>
      <w:r w:rsidRPr="00DD1141">
        <w:rPr>
          <w:bCs/>
          <w:lang w:val="en-GB"/>
        </w:rPr>
        <w:t xml:space="preserve">electron-dense </w:t>
      </w:r>
      <w:r w:rsidRPr="00DD1141">
        <w:rPr>
          <w:lang w:val="en-GB"/>
        </w:rPr>
        <w:t xml:space="preserve">(Fig.1A), had a polygonal shape (Fig.1A) and </w:t>
      </w:r>
      <w:r w:rsidRPr="00DD1141">
        <w:rPr>
          <w:rStyle w:val="Enfasicorsivo"/>
          <w:rFonts w:cs="Arial"/>
          <w:i w:val="0"/>
          <w:color w:val="auto"/>
        </w:rPr>
        <w:t>an</w:t>
      </w:r>
      <w:r w:rsidRPr="00DD1141">
        <w:rPr>
          <w:lang w:val="en-GB"/>
        </w:rPr>
        <w:t>average length of 110 nm but their dimensions do not exceed 250 nm(Fig.1B).Probably they form agglomerates(Fig. 1A, arrow).</w:t>
      </w:r>
    </w:p>
    <w:p w14:paraId="506E720F" w14:textId="77777777" w:rsidR="008952D3" w:rsidRPr="00DD1141" w:rsidRDefault="008952D3" w:rsidP="00172CB0">
      <w:pPr>
        <w:pStyle w:val="MDPI52figure"/>
        <w:rPr>
          <w:lang w:val="en-GB"/>
        </w:rPr>
      </w:pPr>
      <w:r w:rsidRPr="00DD1141">
        <w:rPr>
          <w:noProof/>
          <w:lang w:val="it-IT" w:eastAsia="it-IT" w:bidi="ar-SA"/>
        </w:rPr>
        <w:drawing>
          <wp:inline distT="0" distB="0" distL="0" distR="0" wp14:anchorId="314EA51D" wp14:editId="31212087">
            <wp:extent cx="5914390" cy="2385695"/>
            <wp:effectExtent l="0" t="0" r="0" b="0"/>
            <wp:docPr id="29" name="Immagine 1" descr="C:\Users\toshiba\Desktop\Tattoo finale\Fi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C:\Users\toshiba\Desktop\Tattoo finale\Fig.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14390" cy="2385695"/>
                    </a:xfrm>
                    <a:prstGeom prst="rect">
                      <a:avLst/>
                    </a:prstGeom>
                    <a:noFill/>
                    <a:ln>
                      <a:noFill/>
                    </a:ln>
                  </pic:spPr>
                </pic:pic>
              </a:graphicData>
            </a:graphic>
          </wp:inline>
        </w:drawing>
      </w:r>
    </w:p>
    <w:p w14:paraId="381A7E58" w14:textId="5B0AEBAC" w:rsidR="008952D3" w:rsidRPr="00DD1141" w:rsidRDefault="00172CB0" w:rsidP="00172CB0">
      <w:pPr>
        <w:pStyle w:val="MDPI51figurecaption"/>
        <w:ind w:left="425" w:right="425"/>
        <w:jc w:val="both"/>
      </w:pPr>
      <w:r w:rsidRPr="00DD1141">
        <w:rPr>
          <w:b/>
          <w:bCs/>
        </w:rPr>
        <w:t xml:space="preserve">Figure 1. </w:t>
      </w:r>
      <w:r w:rsidR="008952D3" w:rsidRPr="00DD1141">
        <w:rPr>
          <w:bCs/>
        </w:rPr>
        <w:t>PR170 characterization.</w:t>
      </w:r>
      <w:r w:rsidR="008952D3" w:rsidRPr="00DD1141">
        <w:rPr>
          <w:b/>
          <w:bCs/>
        </w:rPr>
        <w:t xml:space="preserve"> </w:t>
      </w:r>
      <w:r w:rsidRPr="00DD1141">
        <w:rPr>
          <w:bCs/>
        </w:rPr>
        <w:t>(</w:t>
      </w:r>
      <w:r w:rsidR="00B2576A" w:rsidRPr="00DD1141">
        <w:rPr>
          <w:b/>
        </w:rPr>
        <w:t>A</w:t>
      </w:r>
      <w:r w:rsidR="008952D3" w:rsidRPr="00DD1141">
        <w:t xml:space="preserve">) TEM micrography of PR170 highlighted their polygonal shape and the formation of agglomerates (arrow). </w:t>
      </w:r>
      <w:r w:rsidRPr="00DD1141">
        <w:t>(</w:t>
      </w:r>
      <w:r w:rsidR="008952D3" w:rsidRPr="00DD1141">
        <w:rPr>
          <w:b/>
        </w:rPr>
        <w:t>B</w:t>
      </w:r>
      <w:r w:rsidR="008952D3" w:rsidRPr="00DD1141">
        <w:t>) Distribution of diameters of PR170 contained in tattoo ink. Average diameter is 110nm.</w:t>
      </w:r>
    </w:p>
    <w:p w14:paraId="6DA1F730" w14:textId="30795C2E" w:rsidR="008952D3" w:rsidRPr="00DD1141" w:rsidRDefault="00B2576A" w:rsidP="00B2576A">
      <w:pPr>
        <w:pStyle w:val="MDPI22heading2"/>
        <w:spacing w:before="240"/>
        <w:rPr>
          <w:lang w:val="en-GB"/>
        </w:rPr>
      </w:pPr>
      <w:r w:rsidRPr="00DD1141">
        <w:rPr>
          <w:lang w:val="en-GB"/>
        </w:rPr>
        <w:t xml:space="preserve">3.2. </w:t>
      </w:r>
      <w:r w:rsidR="008952D3" w:rsidRPr="00DD1141">
        <w:rPr>
          <w:lang w:val="en-GB"/>
        </w:rPr>
        <w:t xml:space="preserve">PR170 </w:t>
      </w:r>
      <w:r w:rsidRPr="00DD1141">
        <w:rPr>
          <w:lang w:val="en-GB"/>
        </w:rPr>
        <w:t xml:space="preserve">Changes </w:t>
      </w:r>
      <w:r w:rsidR="008952D3" w:rsidRPr="00DD1141">
        <w:rPr>
          <w:lang w:val="en-GB"/>
        </w:rPr>
        <w:t xml:space="preserve">the </w:t>
      </w:r>
      <w:r w:rsidRPr="00DD1141">
        <w:rPr>
          <w:lang w:val="en-GB"/>
        </w:rPr>
        <w:t xml:space="preserve">Mortality Rate </w:t>
      </w:r>
      <w:r w:rsidR="008952D3" w:rsidRPr="00DD1141">
        <w:rPr>
          <w:lang w:val="en-GB"/>
        </w:rPr>
        <w:t xml:space="preserve">of Xenopuslaevis </w:t>
      </w:r>
      <w:r w:rsidRPr="00DD1141">
        <w:rPr>
          <w:lang w:val="en-GB"/>
        </w:rPr>
        <w:t xml:space="preserve">Embryos </w:t>
      </w:r>
      <w:r w:rsidR="008952D3" w:rsidRPr="00DD1141">
        <w:rPr>
          <w:lang w:val="en-GB"/>
        </w:rPr>
        <w:t xml:space="preserve">and Daphnia </w:t>
      </w:r>
      <w:r w:rsidRPr="00DD1141">
        <w:rPr>
          <w:lang w:val="en-GB"/>
        </w:rPr>
        <w:t>Magna Nauplii</w:t>
      </w:r>
    </w:p>
    <w:p w14:paraId="7994EEBC" w14:textId="77777777" w:rsidR="008952D3" w:rsidRPr="00DD1141" w:rsidRDefault="008952D3" w:rsidP="00B2576A">
      <w:pPr>
        <w:pStyle w:val="MDPI31text"/>
        <w:rPr>
          <w:lang w:val="en-GB"/>
        </w:rPr>
      </w:pPr>
      <w:r w:rsidRPr="00DD1141">
        <w:rPr>
          <w:lang w:val="en-GB"/>
        </w:rPr>
        <w:t xml:space="preserve">In </w:t>
      </w:r>
      <w:r w:rsidRPr="00DD1141">
        <w:rPr>
          <w:i/>
          <w:lang w:val="en-GB"/>
        </w:rPr>
        <w:t>X. laevis</w:t>
      </w:r>
      <w:r w:rsidRPr="00DD1141">
        <w:rPr>
          <w:lang w:val="en-GB"/>
        </w:rPr>
        <w:t>, PR170 uptake rates increased as concentrations increased. Significant reduction of PR170 in solution (</w:t>
      </w:r>
      <w:r w:rsidRPr="00DD1141">
        <w:rPr>
          <w:bCs/>
          <w:lang w:val="en-GB"/>
        </w:rPr>
        <w:t xml:space="preserve">88%) </w:t>
      </w:r>
      <w:r w:rsidRPr="00DD1141">
        <w:rPr>
          <w:lang w:val="en-GB"/>
        </w:rPr>
        <w:t xml:space="preserve">was observed when </w:t>
      </w:r>
      <w:r w:rsidRPr="00DD1141">
        <w:rPr>
          <w:i/>
          <w:iCs/>
          <w:lang w:val="en-GB"/>
        </w:rPr>
        <w:t>X. laevis</w:t>
      </w:r>
      <w:r w:rsidRPr="00DD1141">
        <w:rPr>
          <w:lang w:val="en-GB"/>
        </w:rPr>
        <w:t xml:space="preserve"> was exposed to the initial concentration of</w:t>
      </w:r>
      <w:r w:rsidRPr="00DD1141">
        <w:rPr>
          <w:bCs/>
          <w:lang w:val="en-GB"/>
        </w:rPr>
        <w:t xml:space="preserve"> 20 mg/L. A smaller reduction of the uptake rate (55.7%) was observed at 10 mg/L (Table 1). </w:t>
      </w:r>
      <w:r w:rsidRPr="00DD1141">
        <w:rPr>
          <w:lang w:val="en-GB"/>
        </w:rPr>
        <w:t>PR170 was visibly retained in the gut as visible in Fig. 4C (arrow) and Fig. 5 B’ and B” (arrow).</w:t>
      </w:r>
    </w:p>
    <w:p w14:paraId="61979DB4" w14:textId="77777777" w:rsidR="008952D3" w:rsidRPr="00DD1141" w:rsidRDefault="008952D3" w:rsidP="00302DA4">
      <w:pPr>
        <w:pStyle w:val="MDPI31text"/>
        <w:rPr>
          <w:lang w:val="en-GB"/>
        </w:rPr>
      </w:pPr>
      <w:r w:rsidRPr="00DD1141">
        <w:rPr>
          <w:lang w:val="en-GB"/>
        </w:rPr>
        <w:lastRenderedPageBreak/>
        <w:t xml:space="preserve">The </w:t>
      </w:r>
      <w:r w:rsidRPr="00DD1141">
        <w:rPr>
          <w:i/>
          <w:lang w:val="en-GB"/>
        </w:rPr>
        <w:t xml:space="preserve">Xenopus </w:t>
      </w:r>
      <w:r w:rsidRPr="00DD1141">
        <w:rPr>
          <w:lang w:val="en-GB"/>
        </w:rPr>
        <w:t>embryos treated with PR170 (n = 540, p&lt;0.01) significantly change the percentage of death, that reaches 47.41% at a concentration of 20 mg/L, therefore with an increase of percentage death of 18% regarding the controls. The percentage of death is 34.81% and 32.59% at 10 mg/L and 40 mg/L respectively (Fig. 2A and Table 2), that is similar to the range of control embryo mortality (29.63%) (Fig. 2A and Table 2).</w:t>
      </w:r>
    </w:p>
    <w:p w14:paraId="1089E287" w14:textId="77777777" w:rsidR="008952D3" w:rsidRPr="00DD1141" w:rsidRDefault="008952D3" w:rsidP="00302DA4">
      <w:pPr>
        <w:pStyle w:val="MDPI31text"/>
        <w:rPr>
          <w:lang w:val="en-GB"/>
        </w:rPr>
      </w:pPr>
      <w:r w:rsidRPr="00DD1141">
        <w:rPr>
          <w:lang w:val="en-GB"/>
        </w:rPr>
        <w:t xml:space="preserve">Under PR170 exposure, </w:t>
      </w:r>
      <w:r w:rsidRPr="00DD1141">
        <w:rPr>
          <w:i/>
          <w:iCs/>
          <w:lang w:val="en-GB"/>
        </w:rPr>
        <w:t>D. magna</w:t>
      </w:r>
      <w:r w:rsidRPr="00DD1141">
        <w:rPr>
          <w:lang w:val="en-GB"/>
        </w:rPr>
        <w:t xml:space="preserve"> retained the dye in the gut both at a concentration of 10 mg/L and 20 mg/L of PR170 (Fig. 3B). It was relevant that the uptake in the gut increased as the exposure concentration decreased as supported by the chemical measurements of PR10 in exposure media. Indeed, we observed that PR170 is reduced by 18.3% to 20 mg/L and by 23.4% to 10 mg/L of the initial concentration.</w:t>
      </w:r>
    </w:p>
    <w:p w14:paraId="14C40A3F" w14:textId="77777777" w:rsidR="008952D3" w:rsidRPr="00DD1141" w:rsidRDefault="008952D3" w:rsidP="00302DA4">
      <w:pPr>
        <w:pStyle w:val="MDPI31text"/>
        <w:rPr>
          <w:lang w:val="en-GB"/>
        </w:rPr>
      </w:pPr>
      <w:r w:rsidRPr="00DD1141">
        <w:rPr>
          <w:lang w:val="en-GB"/>
        </w:rPr>
        <w:t xml:space="preserve">In the acute toxicity test, the control group showed no immobility. </w:t>
      </w:r>
      <w:r w:rsidRPr="00DD1141">
        <w:rPr>
          <w:rFonts w:eastAsia="Calibri"/>
          <w:lang w:eastAsia="en-US"/>
        </w:rPr>
        <w:t xml:space="preserve">Concentration-response relationships was obtained, in fact </w:t>
      </w:r>
      <w:r w:rsidRPr="00DD1141">
        <w:rPr>
          <w:lang w:val="en-GB"/>
        </w:rPr>
        <w:t xml:space="preserve">all </w:t>
      </w:r>
      <w:r w:rsidRPr="00DD1141">
        <w:rPr>
          <w:i/>
          <w:lang w:val="en-GB"/>
        </w:rPr>
        <w:t xml:space="preserve">D. magna </w:t>
      </w:r>
      <w:r w:rsidRPr="00DD1141">
        <w:rPr>
          <w:lang w:val="en-GB"/>
        </w:rPr>
        <w:t>nauplii were found dead when exposed to 40</w:t>
      </w:r>
      <w:bookmarkStart w:id="4" w:name="_Hlk82782046"/>
      <w:r w:rsidRPr="00DD1141">
        <w:rPr>
          <w:lang w:val="en-GB"/>
        </w:rPr>
        <w:t xml:space="preserve"> mg/L</w:t>
      </w:r>
      <w:bookmarkEnd w:id="4"/>
      <w:r w:rsidRPr="00DD1141">
        <w:rPr>
          <w:lang w:val="en-GB"/>
        </w:rPr>
        <w:t xml:space="preserve"> of PR170. </w:t>
      </w:r>
      <w:r w:rsidRPr="00DD1141">
        <w:rPr>
          <w:iCs/>
          <w:lang w:val="en-GB"/>
        </w:rPr>
        <w:t>The animals showed lower mortality when they were treated with</w:t>
      </w:r>
      <w:r w:rsidRPr="00DD1141">
        <w:rPr>
          <w:lang w:val="en-GB"/>
        </w:rPr>
        <w:t>20 mg/L of PR170 with 76% (±9.5% err.std.;n=3) of immobility or 10</w:t>
      </w:r>
      <w:bookmarkStart w:id="5" w:name="_Hlk82783070"/>
      <w:r w:rsidRPr="00DD1141">
        <w:rPr>
          <w:lang w:val="en-GB"/>
        </w:rPr>
        <w:t xml:space="preserve"> mg/L </w:t>
      </w:r>
      <w:bookmarkEnd w:id="5"/>
      <w:r w:rsidRPr="00DD1141">
        <w:rPr>
          <w:lang w:val="en-GB"/>
        </w:rPr>
        <w:t>of PR170 with only 28% (±14% err.std.;n=3) of negative effects (Fig. 3A).</w:t>
      </w:r>
    </w:p>
    <w:p w14:paraId="3FC9C504" w14:textId="01C7319B" w:rsidR="008952D3" w:rsidRPr="00DD1141" w:rsidRDefault="008952D3" w:rsidP="00302DA4">
      <w:pPr>
        <w:pStyle w:val="MDPI31text"/>
        <w:rPr>
          <w:lang w:val="en-GB"/>
        </w:rPr>
      </w:pPr>
      <w:r w:rsidRPr="00DD1141">
        <w:rPr>
          <w:lang w:val="en-GB"/>
        </w:rPr>
        <w:t>Our data showed that in both models the 20mg/L concentration of PR170 produces the major percent of mortality</w:t>
      </w:r>
    </w:p>
    <w:p w14:paraId="6F033C99" w14:textId="77777777" w:rsidR="000C4BC3" w:rsidRPr="00DD1141" w:rsidRDefault="000C4BC3" w:rsidP="000C4BC3">
      <w:pPr>
        <w:pStyle w:val="MDPI41tablecaption"/>
        <w:ind w:left="425" w:right="425"/>
        <w:jc w:val="both"/>
      </w:pPr>
      <w:r w:rsidRPr="00DD1141">
        <w:rPr>
          <w:b/>
        </w:rPr>
        <w:t xml:space="preserve">Table 1. </w:t>
      </w:r>
      <w:r w:rsidRPr="00DD1141">
        <w:t xml:space="preserve">Concentration of pigment red 170 in test solutions of tattoo ink for </w:t>
      </w:r>
      <w:r w:rsidRPr="00DD1141">
        <w:rPr>
          <w:i/>
          <w:iCs/>
        </w:rPr>
        <w:t>Xenopus leavis</w:t>
      </w:r>
      <w:r w:rsidRPr="00DD1141">
        <w:t xml:space="preserve"> and </w:t>
      </w:r>
      <w:r w:rsidRPr="00DD1141">
        <w:rPr>
          <w:i/>
          <w:iCs/>
        </w:rPr>
        <w:t xml:space="preserve">Daphnia magna </w:t>
      </w:r>
      <w:r w:rsidRPr="00DD1141">
        <w:t>assays. Data are presented as average ± standard deviation (SD).</w:t>
      </w:r>
    </w:p>
    <w:tbl>
      <w:tblPr>
        <w:tblStyle w:val="Grigliatabella"/>
        <w:tblW w:w="10465" w:type="dxa"/>
        <w:tblBorders>
          <w:top w:val="single" w:sz="8" w:space="0" w:color="auto"/>
          <w:left w:val="none" w:sz="0" w:space="0" w:color="auto"/>
          <w:bottom w:val="single" w:sz="8"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712"/>
        <w:gridCol w:w="3875"/>
        <w:gridCol w:w="3878"/>
      </w:tblGrid>
      <w:tr w:rsidR="000C4BC3" w:rsidRPr="00DD1141" w14:paraId="5B606329" w14:textId="77777777" w:rsidTr="000C4BC3">
        <w:tc>
          <w:tcPr>
            <w:tcW w:w="2712" w:type="dxa"/>
            <w:tcBorders>
              <w:top w:val="single" w:sz="8" w:space="0" w:color="auto"/>
              <w:bottom w:val="single" w:sz="4" w:space="0" w:color="auto"/>
            </w:tcBorders>
            <w:shd w:val="clear" w:color="auto" w:fill="auto"/>
            <w:vAlign w:val="center"/>
          </w:tcPr>
          <w:p w14:paraId="3A97F1C9" w14:textId="77777777" w:rsidR="008952D3" w:rsidRPr="00DD1141" w:rsidRDefault="008952D3" w:rsidP="000C4BC3">
            <w:pPr>
              <w:autoSpaceDE w:val="0"/>
              <w:autoSpaceDN w:val="0"/>
              <w:adjustRightInd w:val="0"/>
              <w:snapToGrid w:val="0"/>
              <w:spacing w:line="240" w:lineRule="auto"/>
              <w:jc w:val="center"/>
              <w:rPr>
                <w:b/>
              </w:rPr>
            </w:pPr>
            <w:r w:rsidRPr="00DD1141">
              <w:rPr>
                <w:b/>
              </w:rPr>
              <w:t>Nominal concentration before treatment (mg/L)</w:t>
            </w:r>
          </w:p>
        </w:tc>
        <w:tc>
          <w:tcPr>
            <w:tcW w:w="3875" w:type="dxa"/>
            <w:tcBorders>
              <w:top w:val="single" w:sz="8" w:space="0" w:color="auto"/>
              <w:bottom w:val="single" w:sz="4" w:space="0" w:color="auto"/>
            </w:tcBorders>
            <w:shd w:val="clear" w:color="auto" w:fill="auto"/>
            <w:vAlign w:val="center"/>
          </w:tcPr>
          <w:p w14:paraId="722382DC" w14:textId="77777777" w:rsidR="008952D3" w:rsidRPr="00DD1141" w:rsidRDefault="008952D3" w:rsidP="000C4BC3">
            <w:pPr>
              <w:autoSpaceDE w:val="0"/>
              <w:autoSpaceDN w:val="0"/>
              <w:adjustRightInd w:val="0"/>
              <w:snapToGrid w:val="0"/>
              <w:spacing w:line="240" w:lineRule="auto"/>
              <w:jc w:val="center"/>
              <w:rPr>
                <w:b/>
              </w:rPr>
            </w:pPr>
            <w:r w:rsidRPr="00DD1141">
              <w:rPr>
                <w:b/>
              </w:rPr>
              <w:t>Concentration (from UV-Vis analysis)</w:t>
            </w:r>
          </w:p>
          <w:p w14:paraId="57601FC4" w14:textId="77777777" w:rsidR="008952D3" w:rsidRPr="00DD1141" w:rsidRDefault="008952D3" w:rsidP="000C4BC3">
            <w:pPr>
              <w:autoSpaceDE w:val="0"/>
              <w:autoSpaceDN w:val="0"/>
              <w:adjustRightInd w:val="0"/>
              <w:snapToGrid w:val="0"/>
              <w:spacing w:line="240" w:lineRule="auto"/>
              <w:jc w:val="center"/>
              <w:rPr>
                <w:b/>
              </w:rPr>
            </w:pPr>
            <w:r w:rsidRPr="00DD1141">
              <w:rPr>
                <w:b/>
              </w:rPr>
              <w:t>before treatment</w:t>
            </w:r>
          </w:p>
          <w:p w14:paraId="1DAF8722" w14:textId="77777777" w:rsidR="008952D3" w:rsidRPr="00DD1141" w:rsidRDefault="008952D3" w:rsidP="000C4BC3">
            <w:pPr>
              <w:autoSpaceDE w:val="0"/>
              <w:autoSpaceDN w:val="0"/>
              <w:adjustRightInd w:val="0"/>
              <w:snapToGrid w:val="0"/>
              <w:spacing w:line="240" w:lineRule="auto"/>
              <w:jc w:val="center"/>
              <w:rPr>
                <w:b/>
              </w:rPr>
            </w:pPr>
            <w:r w:rsidRPr="00DD1141">
              <w:rPr>
                <w:b/>
              </w:rPr>
              <w:t xml:space="preserve"> (mg/L) </w:t>
            </w:r>
            <w:r w:rsidRPr="00DD1141">
              <w:rPr>
                <w:rFonts w:cs="Arial"/>
                <w:b/>
              </w:rPr>
              <w:t>± SD</w:t>
            </w:r>
          </w:p>
        </w:tc>
        <w:tc>
          <w:tcPr>
            <w:tcW w:w="3878" w:type="dxa"/>
            <w:tcBorders>
              <w:top w:val="single" w:sz="8" w:space="0" w:color="auto"/>
              <w:bottom w:val="single" w:sz="4" w:space="0" w:color="auto"/>
            </w:tcBorders>
            <w:shd w:val="clear" w:color="auto" w:fill="auto"/>
            <w:vAlign w:val="center"/>
          </w:tcPr>
          <w:p w14:paraId="71DFF086" w14:textId="77777777" w:rsidR="008952D3" w:rsidRPr="00DD1141" w:rsidRDefault="008952D3" w:rsidP="000C4BC3">
            <w:pPr>
              <w:autoSpaceDE w:val="0"/>
              <w:autoSpaceDN w:val="0"/>
              <w:adjustRightInd w:val="0"/>
              <w:snapToGrid w:val="0"/>
              <w:spacing w:line="240" w:lineRule="auto"/>
              <w:jc w:val="center"/>
              <w:rPr>
                <w:b/>
              </w:rPr>
            </w:pPr>
            <w:r w:rsidRPr="00DD1141">
              <w:rPr>
                <w:b/>
              </w:rPr>
              <w:t>Concentration (from UV-Vis analysis)</w:t>
            </w:r>
          </w:p>
          <w:p w14:paraId="371B4854" w14:textId="77777777" w:rsidR="008952D3" w:rsidRPr="00DD1141" w:rsidRDefault="008952D3" w:rsidP="000C4BC3">
            <w:pPr>
              <w:autoSpaceDE w:val="0"/>
              <w:autoSpaceDN w:val="0"/>
              <w:adjustRightInd w:val="0"/>
              <w:snapToGrid w:val="0"/>
              <w:spacing w:line="240" w:lineRule="auto"/>
              <w:jc w:val="center"/>
              <w:rPr>
                <w:b/>
              </w:rPr>
            </w:pPr>
            <w:r w:rsidRPr="00DD1141">
              <w:rPr>
                <w:b/>
              </w:rPr>
              <w:t>after treatment</w:t>
            </w:r>
          </w:p>
          <w:p w14:paraId="2CB29DE7" w14:textId="77777777" w:rsidR="008952D3" w:rsidRPr="00DD1141" w:rsidRDefault="008952D3" w:rsidP="000C4BC3">
            <w:pPr>
              <w:autoSpaceDE w:val="0"/>
              <w:autoSpaceDN w:val="0"/>
              <w:adjustRightInd w:val="0"/>
              <w:snapToGrid w:val="0"/>
              <w:spacing w:line="240" w:lineRule="auto"/>
              <w:jc w:val="center"/>
              <w:rPr>
                <w:b/>
              </w:rPr>
            </w:pPr>
            <w:r w:rsidRPr="00DD1141">
              <w:rPr>
                <w:b/>
              </w:rPr>
              <w:t xml:space="preserve"> (mg/L) </w:t>
            </w:r>
            <w:r w:rsidRPr="00DD1141">
              <w:rPr>
                <w:rFonts w:cs="Arial"/>
                <w:b/>
              </w:rPr>
              <w:t>± SD</w:t>
            </w:r>
          </w:p>
        </w:tc>
      </w:tr>
      <w:tr w:rsidR="000C4BC3" w:rsidRPr="00DD1141" w14:paraId="07C17C63" w14:textId="77777777" w:rsidTr="000C4BC3">
        <w:tc>
          <w:tcPr>
            <w:tcW w:w="10465" w:type="dxa"/>
            <w:gridSpan w:val="3"/>
            <w:tcBorders>
              <w:top w:val="single" w:sz="4" w:space="0" w:color="auto"/>
            </w:tcBorders>
            <w:shd w:val="clear" w:color="auto" w:fill="auto"/>
            <w:vAlign w:val="center"/>
          </w:tcPr>
          <w:p w14:paraId="1BC8F73C" w14:textId="77777777" w:rsidR="008952D3" w:rsidRPr="00DD1141" w:rsidRDefault="008952D3" w:rsidP="000C4BC3">
            <w:pPr>
              <w:autoSpaceDE w:val="0"/>
              <w:autoSpaceDN w:val="0"/>
              <w:adjustRightInd w:val="0"/>
              <w:snapToGrid w:val="0"/>
              <w:spacing w:line="240" w:lineRule="auto"/>
              <w:jc w:val="center"/>
            </w:pPr>
            <w:r w:rsidRPr="00DD1141">
              <w:rPr>
                <w:b/>
                <w:bCs/>
                <w:i/>
                <w:iCs/>
              </w:rPr>
              <w:t>Xenopus laevis</w:t>
            </w:r>
          </w:p>
        </w:tc>
      </w:tr>
      <w:tr w:rsidR="000C4BC3" w:rsidRPr="00DD1141" w14:paraId="14A2BE42" w14:textId="77777777" w:rsidTr="000C4BC3">
        <w:tc>
          <w:tcPr>
            <w:tcW w:w="2712" w:type="dxa"/>
            <w:shd w:val="clear" w:color="auto" w:fill="auto"/>
            <w:vAlign w:val="center"/>
          </w:tcPr>
          <w:p w14:paraId="24CD8F4C" w14:textId="77777777" w:rsidR="008952D3" w:rsidRPr="00DD1141" w:rsidRDefault="008952D3" w:rsidP="000C4BC3">
            <w:pPr>
              <w:autoSpaceDE w:val="0"/>
              <w:autoSpaceDN w:val="0"/>
              <w:adjustRightInd w:val="0"/>
              <w:snapToGrid w:val="0"/>
              <w:spacing w:line="240" w:lineRule="auto"/>
              <w:jc w:val="center"/>
              <w:rPr>
                <w:rFonts w:cs="Arial"/>
              </w:rPr>
            </w:pPr>
            <w:r w:rsidRPr="00DD1141">
              <w:rPr>
                <w:rFonts w:cs="Arial"/>
              </w:rPr>
              <w:t>10</w:t>
            </w:r>
          </w:p>
        </w:tc>
        <w:tc>
          <w:tcPr>
            <w:tcW w:w="3875" w:type="dxa"/>
            <w:shd w:val="clear" w:color="auto" w:fill="auto"/>
            <w:vAlign w:val="center"/>
          </w:tcPr>
          <w:p w14:paraId="7CFF2C53" w14:textId="77777777" w:rsidR="008952D3" w:rsidRPr="00DD1141" w:rsidRDefault="008952D3" w:rsidP="000C4BC3">
            <w:pPr>
              <w:autoSpaceDE w:val="0"/>
              <w:autoSpaceDN w:val="0"/>
              <w:adjustRightInd w:val="0"/>
              <w:snapToGrid w:val="0"/>
              <w:spacing w:line="240" w:lineRule="auto"/>
              <w:jc w:val="center"/>
            </w:pPr>
            <w:r w:rsidRPr="00DD1141">
              <w:rPr>
                <w:rFonts w:cs="Arial"/>
              </w:rPr>
              <w:t>9.2 ± 0.2</w:t>
            </w:r>
          </w:p>
        </w:tc>
        <w:tc>
          <w:tcPr>
            <w:tcW w:w="3878" w:type="dxa"/>
            <w:shd w:val="clear" w:color="auto" w:fill="auto"/>
            <w:vAlign w:val="center"/>
          </w:tcPr>
          <w:p w14:paraId="6454648F" w14:textId="77777777" w:rsidR="008952D3" w:rsidRPr="00DD1141" w:rsidRDefault="008952D3" w:rsidP="000C4BC3">
            <w:pPr>
              <w:autoSpaceDE w:val="0"/>
              <w:autoSpaceDN w:val="0"/>
              <w:adjustRightInd w:val="0"/>
              <w:snapToGrid w:val="0"/>
              <w:spacing w:line="240" w:lineRule="auto"/>
              <w:jc w:val="center"/>
            </w:pPr>
            <w:r w:rsidRPr="00DD1141">
              <w:rPr>
                <w:rFonts w:cs="Arial"/>
              </w:rPr>
              <w:t>4.1 ± 0.4</w:t>
            </w:r>
          </w:p>
        </w:tc>
      </w:tr>
      <w:tr w:rsidR="000C4BC3" w:rsidRPr="00DD1141" w14:paraId="1D06C25A" w14:textId="77777777" w:rsidTr="000C4BC3">
        <w:tc>
          <w:tcPr>
            <w:tcW w:w="2712" w:type="dxa"/>
            <w:shd w:val="clear" w:color="auto" w:fill="auto"/>
            <w:vAlign w:val="center"/>
          </w:tcPr>
          <w:p w14:paraId="4269AA91" w14:textId="77777777" w:rsidR="008952D3" w:rsidRPr="00DD1141" w:rsidRDefault="008952D3" w:rsidP="000C4BC3">
            <w:pPr>
              <w:autoSpaceDE w:val="0"/>
              <w:autoSpaceDN w:val="0"/>
              <w:adjustRightInd w:val="0"/>
              <w:snapToGrid w:val="0"/>
              <w:spacing w:line="240" w:lineRule="auto"/>
              <w:jc w:val="center"/>
              <w:rPr>
                <w:rFonts w:cs="Arial"/>
              </w:rPr>
            </w:pPr>
            <w:r w:rsidRPr="00DD1141">
              <w:rPr>
                <w:rFonts w:cs="Arial"/>
              </w:rPr>
              <w:t>20</w:t>
            </w:r>
          </w:p>
        </w:tc>
        <w:tc>
          <w:tcPr>
            <w:tcW w:w="3875" w:type="dxa"/>
            <w:shd w:val="clear" w:color="auto" w:fill="auto"/>
            <w:vAlign w:val="center"/>
          </w:tcPr>
          <w:p w14:paraId="6AC1462E" w14:textId="77777777" w:rsidR="008952D3" w:rsidRPr="00DD1141" w:rsidRDefault="008952D3" w:rsidP="000C4BC3">
            <w:pPr>
              <w:autoSpaceDE w:val="0"/>
              <w:autoSpaceDN w:val="0"/>
              <w:adjustRightInd w:val="0"/>
              <w:snapToGrid w:val="0"/>
              <w:spacing w:line="240" w:lineRule="auto"/>
              <w:jc w:val="center"/>
            </w:pPr>
            <w:r w:rsidRPr="00DD1141">
              <w:rPr>
                <w:rFonts w:cs="Arial"/>
              </w:rPr>
              <w:t>17.3 ± 0.3</w:t>
            </w:r>
          </w:p>
        </w:tc>
        <w:tc>
          <w:tcPr>
            <w:tcW w:w="3878" w:type="dxa"/>
            <w:shd w:val="clear" w:color="auto" w:fill="auto"/>
            <w:vAlign w:val="center"/>
          </w:tcPr>
          <w:p w14:paraId="13AE33D2" w14:textId="77777777" w:rsidR="008952D3" w:rsidRPr="00DD1141" w:rsidRDefault="008952D3" w:rsidP="000C4BC3">
            <w:pPr>
              <w:autoSpaceDE w:val="0"/>
              <w:autoSpaceDN w:val="0"/>
              <w:adjustRightInd w:val="0"/>
              <w:snapToGrid w:val="0"/>
              <w:spacing w:line="240" w:lineRule="auto"/>
              <w:jc w:val="center"/>
            </w:pPr>
            <w:r w:rsidRPr="00DD1141">
              <w:rPr>
                <w:rFonts w:cs="Arial"/>
              </w:rPr>
              <w:t>2.1 ± 0.2</w:t>
            </w:r>
          </w:p>
        </w:tc>
      </w:tr>
      <w:tr w:rsidR="000C4BC3" w:rsidRPr="00DD1141" w14:paraId="5F83A605" w14:textId="77777777" w:rsidTr="000C4BC3">
        <w:tc>
          <w:tcPr>
            <w:tcW w:w="10465" w:type="dxa"/>
            <w:gridSpan w:val="3"/>
            <w:shd w:val="clear" w:color="auto" w:fill="auto"/>
            <w:vAlign w:val="center"/>
          </w:tcPr>
          <w:p w14:paraId="275ABFFA" w14:textId="77777777" w:rsidR="008952D3" w:rsidRPr="00DD1141" w:rsidRDefault="008952D3" w:rsidP="000C4BC3">
            <w:pPr>
              <w:autoSpaceDE w:val="0"/>
              <w:autoSpaceDN w:val="0"/>
              <w:adjustRightInd w:val="0"/>
              <w:snapToGrid w:val="0"/>
              <w:spacing w:line="240" w:lineRule="auto"/>
              <w:jc w:val="center"/>
              <w:rPr>
                <w:rFonts w:cs="Arial"/>
                <w:b/>
                <w:bCs/>
                <w:i/>
                <w:iCs/>
                <w:color w:val="FF0000"/>
              </w:rPr>
            </w:pPr>
            <w:r w:rsidRPr="00DD1141">
              <w:rPr>
                <w:rFonts w:cs="Arial"/>
                <w:b/>
                <w:bCs/>
                <w:i/>
                <w:iCs/>
              </w:rPr>
              <w:t>Daphnia magna</w:t>
            </w:r>
          </w:p>
        </w:tc>
      </w:tr>
      <w:tr w:rsidR="000C4BC3" w:rsidRPr="00DD1141" w14:paraId="0369DD85" w14:textId="77777777" w:rsidTr="000C4BC3">
        <w:tc>
          <w:tcPr>
            <w:tcW w:w="2712" w:type="dxa"/>
            <w:shd w:val="clear" w:color="auto" w:fill="auto"/>
            <w:vAlign w:val="center"/>
          </w:tcPr>
          <w:p w14:paraId="5885039A" w14:textId="77777777" w:rsidR="008952D3" w:rsidRPr="00DD1141" w:rsidRDefault="008952D3" w:rsidP="000C4BC3">
            <w:pPr>
              <w:autoSpaceDE w:val="0"/>
              <w:autoSpaceDN w:val="0"/>
              <w:adjustRightInd w:val="0"/>
              <w:snapToGrid w:val="0"/>
              <w:spacing w:line="240" w:lineRule="auto"/>
              <w:jc w:val="center"/>
              <w:rPr>
                <w:rFonts w:cs="Arial"/>
                <w:color w:val="FF0000"/>
              </w:rPr>
            </w:pPr>
            <w:r w:rsidRPr="00DD1141">
              <w:rPr>
                <w:rFonts w:cs="Arial"/>
              </w:rPr>
              <w:t>10</w:t>
            </w:r>
          </w:p>
        </w:tc>
        <w:tc>
          <w:tcPr>
            <w:tcW w:w="3875" w:type="dxa"/>
            <w:shd w:val="clear" w:color="auto" w:fill="auto"/>
            <w:vAlign w:val="center"/>
          </w:tcPr>
          <w:p w14:paraId="01E81978" w14:textId="77777777" w:rsidR="008952D3" w:rsidRPr="00DD1141" w:rsidRDefault="008952D3" w:rsidP="000C4BC3">
            <w:pPr>
              <w:autoSpaceDE w:val="0"/>
              <w:autoSpaceDN w:val="0"/>
              <w:adjustRightInd w:val="0"/>
              <w:snapToGrid w:val="0"/>
              <w:spacing w:line="240" w:lineRule="auto"/>
              <w:jc w:val="center"/>
              <w:rPr>
                <w:rFonts w:cs="Arial"/>
                <w:color w:val="FF0000"/>
              </w:rPr>
            </w:pPr>
            <w:r w:rsidRPr="00DD1141">
              <w:rPr>
                <w:rFonts w:cs="Arial"/>
              </w:rPr>
              <w:t>9.9 ± 0.4</w:t>
            </w:r>
          </w:p>
        </w:tc>
        <w:tc>
          <w:tcPr>
            <w:tcW w:w="3878" w:type="dxa"/>
            <w:shd w:val="clear" w:color="auto" w:fill="auto"/>
            <w:vAlign w:val="center"/>
          </w:tcPr>
          <w:p w14:paraId="4025C0FF" w14:textId="77777777" w:rsidR="008952D3" w:rsidRPr="00DD1141" w:rsidRDefault="008952D3" w:rsidP="000C4BC3">
            <w:pPr>
              <w:autoSpaceDE w:val="0"/>
              <w:autoSpaceDN w:val="0"/>
              <w:adjustRightInd w:val="0"/>
              <w:snapToGrid w:val="0"/>
              <w:spacing w:line="240" w:lineRule="auto"/>
              <w:jc w:val="center"/>
              <w:rPr>
                <w:rFonts w:cs="Arial"/>
                <w:color w:val="FF0000"/>
              </w:rPr>
            </w:pPr>
            <w:r w:rsidRPr="00DD1141">
              <w:rPr>
                <w:rFonts w:cs="Arial"/>
              </w:rPr>
              <w:t>8.1 ± 0.5</w:t>
            </w:r>
          </w:p>
        </w:tc>
      </w:tr>
      <w:tr w:rsidR="000C4BC3" w:rsidRPr="00DD1141" w14:paraId="2EAF28C1" w14:textId="77777777" w:rsidTr="000C4BC3">
        <w:tc>
          <w:tcPr>
            <w:tcW w:w="2712" w:type="dxa"/>
            <w:shd w:val="clear" w:color="auto" w:fill="auto"/>
            <w:vAlign w:val="center"/>
          </w:tcPr>
          <w:p w14:paraId="0F63EA7F" w14:textId="77777777" w:rsidR="008952D3" w:rsidRPr="00DD1141" w:rsidRDefault="008952D3" w:rsidP="000C4BC3">
            <w:pPr>
              <w:autoSpaceDE w:val="0"/>
              <w:autoSpaceDN w:val="0"/>
              <w:adjustRightInd w:val="0"/>
              <w:snapToGrid w:val="0"/>
              <w:spacing w:line="240" w:lineRule="auto"/>
              <w:jc w:val="center"/>
              <w:rPr>
                <w:rFonts w:cs="Arial"/>
                <w:color w:val="FF0000"/>
              </w:rPr>
            </w:pPr>
            <w:r w:rsidRPr="00DD1141">
              <w:rPr>
                <w:rFonts w:cs="Arial"/>
              </w:rPr>
              <w:t>20</w:t>
            </w:r>
          </w:p>
        </w:tc>
        <w:tc>
          <w:tcPr>
            <w:tcW w:w="3875" w:type="dxa"/>
            <w:shd w:val="clear" w:color="auto" w:fill="auto"/>
            <w:vAlign w:val="center"/>
          </w:tcPr>
          <w:p w14:paraId="0727BFF0" w14:textId="77777777" w:rsidR="008952D3" w:rsidRPr="00DD1141" w:rsidRDefault="008952D3" w:rsidP="000C4BC3">
            <w:pPr>
              <w:autoSpaceDE w:val="0"/>
              <w:autoSpaceDN w:val="0"/>
              <w:adjustRightInd w:val="0"/>
              <w:snapToGrid w:val="0"/>
              <w:spacing w:line="240" w:lineRule="auto"/>
              <w:jc w:val="center"/>
              <w:rPr>
                <w:rFonts w:cs="Arial"/>
                <w:color w:val="FF0000"/>
              </w:rPr>
            </w:pPr>
            <w:r w:rsidRPr="00DD1141">
              <w:rPr>
                <w:rFonts w:cs="Arial"/>
              </w:rPr>
              <w:t>19.8 ± 0.3</w:t>
            </w:r>
          </w:p>
        </w:tc>
        <w:tc>
          <w:tcPr>
            <w:tcW w:w="3878" w:type="dxa"/>
            <w:shd w:val="clear" w:color="auto" w:fill="auto"/>
            <w:vAlign w:val="center"/>
          </w:tcPr>
          <w:p w14:paraId="1AFB1DB3" w14:textId="77777777" w:rsidR="008952D3" w:rsidRPr="00DD1141" w:rsidRDefault="008952D3" w:rsidP="000C4BC3">
            <w:pPr>
              <w:autoSpaceDE w:val="0"/>
              <w:autoSpaceDN w:val="0"/>
              <w:adjustRightInd w:val="0"/>
              <w:snapToGrid w:val="0"/>
              <w:spacing w:line="240" w:lineRule="auto"/>
              <w:jc w:val="center"/>
              <w:rPr>
                <w:rFonts w:cs="Arial"/>
                <w:color w:val="FF0000"/>
              </w:rPr>
            </w:pPr>
            <w:r w:rsidRPr="00DD1141">
              <w:rPr>
                <w:rFonts w:cs="Arial"/>
              </w:rPr>
              <w:t>15.2 ± 0.6</w:t>
            </w:r>
          </w:p>
        </w:tc>
      </w:tr>
    </w:tbl>
    <w:p w14:paraId="4620B9C9" w14:textId="77777777" w:rsidR="008952D3" w:rsidRPr="00DD1141" w:rsidRDefault="008952D3" w:rsidP="00B818A9">
      <w:pPr>
        <w:pStyle w:val="MDPI52figure"/>
        <w:rPr>
          <w:lang w:val="en-GB"/>
        </w:rPr>
      </w:pPr>
      <w:r w:rsidRPr="00DD1141">
        <w:rPr>
          <w:noProof/>
          <w:lang w:val="it-IT" w:eastAsia="it-IT" w:bidi="ar-SA"/>
        </w:rPr>
        <w:drawing>
          <wp:inline distT="0" distB="0" distL="0" distR="0" wp14:anchorId="5EE9B076" wp14:editId="46237B67">
            <wp:extent cx="6119495" cy="2367915"/>
            <wp:effectExtent l="0" t="0" r="0" b="0"/>
            <wp:docPr id="28" name="Immagine 2" descr="C:\Users\toshiba\Desktop\Tattoo finale\Fig.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C:\Users\toshiba\Desktop\Tattoo finale\Fig. 2.t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9495" cy="2367915"/>
                    </a:xfrm>
                    <a:prstGeom prst="rect">
                      <a:avLst/>
                    </a:prstGeom>
                    <a:noFill/>
                    <a:ln>
                      <a:noFill/>
                    </a:ln>
                  </pic:spPr>
                </pic:pic>
              </a:graphicData>
            </a:graphic>
          </wp:inline>
        </w:drawing>
      </w:r>
    </w:p>
    <w:p w14:paraId="1AFCB5CB" w14:textId="35536316" w:rsidR="007B38D7" w:rsidRPr="00DD1141" w:rsidRDefault="00B818A9" w:rsidP="007B38D7">
      <w:pPr>
        <w:pStyle w:val="MDPI51figurecaption"/>
        <w:ind w:left="425" w:right="425"/>
        <w:jc w:val="both"/>
      </w:pPr>
      <w:r w:rsidRPr="00DD1141">
        <w:rPr>
          <w:b/>
          <w:bCs/>
        </w:rPr>
        <w:t xml:space="preserve">Figure 2. </w:t>
      </w:r>
      <w:r w:rsidR="008952D3" w:rsidRPr="00DD1141">
        <w:rPr>
          <w:bCs/>
        </w:rPr>
        <w:t xml:space="preserve">Mortality, growth retardation and heartrate evaluations after PR170 pigment treatment in </w:t>
      </w:r>
      <w:r w:rsidR="008952D3" w:rsidRPr="00DD1141">
        <w:rPr>
          <w:bCs/>
          <w:i/>
          <w:lang w:val="en-GB"/>
        </w:rPr>
        <w:t xml:space="preserve">X. laevis </w:t>
      </w:r>
      <w:r w:rsidR="008952D3" w:rsidRPr="00DD1141">
        <w:rPr>
          <w:bCs/>
          <w:lang w:val="en-GB"/>
        </w:rPr>
        <w:t>embryos</w:t>
      </w:r>
      <w:r w:rsidR="008952D3" w:rsidRPr="00DD1141">
        <w:rPr>
          <w:bCs/>
        </w:rPr>
        <w:t xml:space="preserve">. </w:t>
      </w:r>
      <w:r w:rsidRPr="00DD1141">
        <w:rPr>
          <w:bCs/>
        </w:rPr>
        <w:t>(</w:t>
      </w:r>
      <w:r w:rsidR="008952D3" w:rsidRPr="00DD1141">
        <w:rPr>
          <w:b/>
        </w:rPr>
        <w:t>A</w:t>
      </w:r>
      <w:r w:rsidR="008952D3" w:rsidRPr="00DD1141">
        <w:t xml:space="preserve">)Mortality percentage distributions of untreated and treated embryos displays a peak at 20 mg/L and values not so far from the control for 10 mg/L and 40 mg/L. </w:t>
      </w:r>
      <w:r w:rsidRPr="00DD1141">
        <w:t>(</w:t>
      </w:r>
      <w:r w:rsidR="008952D3" w:rsidRPr="00DD1141">
        <w:rPr>
          <w:b/>
        </w:rPr>
        <w:t>B</w:t>
      </w:r>
      <w:r w:rsidR="008952D3" w:rsidRPr="00DD1141">
        <w:t>)Analysis revealed</w:t>
      </w:r>
      <w:r w:rsidR="008952D3" w:rsidRPr="00DD1141">
        <w:rPr>
          <w:lang w:val="en-GB"/>
        </w:rPr>
        <w:t xml:space="preserve"> unmodified length of treated embryos if compared to the wild type (</w:t>
      </w:r>
      <w:r w:rsidR="008952D3" w:rsidRPr="00DD1141">
        <w:rPr>
          <w:i/>
          <w:lang w:val="en-GB"/>
        </w:rPr>
        <w:t>P</w:t>
      </w:r>
      <w:r w:rsidR="008952D3" w:rsidRPr="00DD1141">
        <w:rPr>
          <w:lang w:val="en-GB"/>
        </w:rPr>
        <w:t xml:space="preserve">&gt;0.05). </w:t>
      </w:r>
      <w:r w:rsidRPr="00DD1141">
        <w:rPr>
          <w:lang w:val="en-GB"/>
        </w:rPr>
        <w:t>(</w:t>
      </w:r>
      <w:r w:rsidR="008952D3" w:rsidRPr="00DD1141">
        <w:rPr>
          <w:b/>
          <w:lang w:val="en-GB"/>
        </w:rPr>
        <w:t>C</w:t>
      </w:r>
      <w:r w:rsidR="008952D3" w:rsidRPr="00DD1141">
        <w:rPr>
          <w:lang w:val="en-GB"/>
        </w:rPr>
        <w:t xml:space="preserve">) Treated embryos </w:t>
      </w:r>
      <w:r w:rsidR="008952D3" w:rsidRPr="00DD1141">
        <w:t>showed a growing tachycardia with maximum rate at 40 mg/L. **</w:t>
      </w:r>
      <w:r w:rsidR="008952D3" w:rsidRPr="00DD1141">
        <w:rPr>
          <w:i/>
        </w:rPr>
        <w:t>P</w:t>
      </w:r>
      <w:r w:rsidR="008952D3" w:rsidRPr="00DD1141">
        <w:t>&lt;0.01, ****</w:t>
      </w:r>
      <w:r w:rsidR="008952D3" w:rsidRPr="00DD1141">
        <w:rPr>
          <w:i/>
        </w:rPr>
        <w:t>P</w:t>
      </w:r>
      <w:r w:rsidR="008952D3" w:rsidRPr="00DD1141">
        <w:t>&lt;0.0001.</w:t>
      </w:r>
    </w:p>
    <w:p w14:paraId="1E3A1564" w14:textId="436D7221" w:rsidR="008952D3" w:rsidRPr="00DD1141" w:rsidRDefault="007B38D7" w:rsidP="007B38D7">
      <w:pPr>
        <w:spacing w:line="240" w:lineRule="auto"/>
        <w:jc w:val="left"/>
        <w:rPr>
          <w:rFonts w:eastAsia="Times New Roman"/>
          <w:noProof w:val="0"/>
          <w:sz w:val="18"/>
          <w:lang w:eastAsia="de-DE" w:bidi="en-US"/>
        </w:rPr>
      </w:pPr>
      <w:r w:rsidRPr="00DD1141">
        <w:br w:type="page"/>
      </w:r>
    </w:p>
    <w:tbl>
      <w:tblPr>
        <w:tblW w:w="7654" w:type="dxa"/>
        <w:tblInd w:w="26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09"/>
        <w:gridCol w:w="85"/>
        <w:gridCol w:w="1646"/>
        <w:gridCol w:w="1309"/>
        <w:gridCol w:w="1435"/>
        <w:gridCol w:w="1770"/>
      </w:tblGrid>
      <w:tr w:rsidR="007B38D7" w:rsidRPr="00DD1141" w14:paraId="72AAF6BA" w14:textId="77777777" w:rsidTr="007B38D7">
        <w:tc>
          <w:tcPr>
            <w:tcW w:w="1409" w:type="dxa"/>
            <w:tcBorders>
              <w:top w:val="single" w:sz="8" w:space="0" w:color="auto"/>
              <w:left w:val="nil"/>
              <w:right w:val="nil"/>
            </w:tcBorders>
            <w:shd w:val="clear" w:color="auto" w:fill="auto"/>
            <w:vAlign w:val="center"/>
          </w:tcPr>
          <w:p w14:paraId="6BD6EDDB" w14:textId="77777777" w:rsidR="008952D3" w:rsidRPr="00DD1141" w:rsidRDefault="008952D3" w:rsidP="007B38D7">
            <w:pPr>
              <w:autoSpaceDE w:val="0"/>
              <w:autoSpaceDN w:val="0"/>
              <w:adjustRightInd w:val="0"/>
              <w:snapToGrid w:val="0"/>
              <w:spacing w:line="240" w:lineRule="auto"/>
              <w:jc w:val="center"/>
              <w:rPr>
                <w:b/>
              </w:rPr>
            </w:pPr>
          </w:p>
        </w:tc>
        <w:tc>
          <w:tcPr>
            <w:tcW w:w="6245" w:type="dxa"/>
            <w:gridSpan w:val="5"/>
            <w:tcBorders>
              <w:top w:val="single" w:sz="8" w:space="0" w:color="auto"/>
              <w:left w:val="nil"/>
              <w:right w:val="nil"/>
            </w:tcBorders>
            <w:shd w:val="clear" w:color="auto" w:fill="auto"/>
            <w:vAlign w:val="center"/>
          </w:tcPr>
          <w:p w14:paraId="2F6FE4D8" w14:textId="77777777" w:rsidR="008952D3" w:rsidRPr="00DD1141" w:rsidRDefault="008952D3" w:rsidP="007B38D7">
            <w:pPr>
              <w:autoSpaceDE w:val="0"/>
              <w:autoSpaceDN w:val="0"/>
              <w:adjustRightInd w:val="0"/>
              <w:snapToGrid w:val="0"/>
              <w:spacing w:line="240" w:lineRule="auto"/>
              <w:jc w:val="center"/>
              <w:rPr>
                <w:b/>
              </w:rPr>
            </w:pPr>
            <w:r w:rsidRPr="00DD1141">
              <w:rPr>
                <w:b/>
              </w:rPr>
              <w:t xml:space="preserve">Mortality </w:t>
            </w:r>
          </w:p>
        </w:tc>
      </w:tr>
      <w:tr w:rsidR="007B38D7" w:rsidRPr="00DD1141" w14:paraId="477BEE37" w14:textId="77777777" w:rsidTr="007B38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20" w:firstRow="1" w:lastRow="0" w:firstColumn="0" w:lastColumn="0" w:noHBand="0" w:noVBand="1"/>
        </w:tblPrEx>
        <w:tc>
          <w:tcPr>
            <w:tcW w:w="1494" w:type="dxa"/>
            <w:gridSpan w:val="2"/>
            <w:tcBorders>
              <w:top w:val="single" w:sz="8" w:space="0" w:color="000000"/>
              <w:bottom w:val="single" w:sz="4" w:space="0" w:color="000000"/>
            </w:tcBorders>
            <w:shd w:val="clear" w:color="auto" w:fill="auto"/>
            <w:tcMar>
              <w:top w:w="72" w:type="dxa"/>
              <w:left w:w="144" w:type="dxa"/>
              <w:bottom w:w="72" w:type="dxa"/>
              <w:right w:w="144" w:type="dxa"/>
            </w:tcMar>
            <w:vAlign w:val="center"/>
            <w:hideMark/>
          </w:tcPr>
          <w:p w14:paraId="23C8299E" w14:textId="77777777" w:rsidR="008952D3" w:rsidRPr="00DD1141" w:rsidRDefault="008952D3" w:rsidP="007B38D7">
            <w:pPr>
              <w:autoSpaceDE w:val="0"/>
              <w:autoSpaceDN w:val="0"/>
              <w:adjustRightInd w:val="0"/>
              <w:snapToGrid w:val="0"/>
              <w:spacing w:line="240" w:lineRule="auto"/>
              <w:jc w:val="center"/>
              <w:rPr>
                <w:b/>
              </w:rPr>
            </w:pPr>
          </w:p>
        </w:tc>
        <w:tc>
          <w:tcPr>
            <w:tcW w:w="1646" w:type="dxa"/>
            <w:tcBorders>
              <w:top w:val="single" w:sz="8" w:space="0" w:color="000000"/>
              <w:bottom w:val="single" w:sz="4" w:space="0" w:color="000000"/>
            </w:tcBorders>
            <w:shd w:val="clear" w:color="auto" w:fill="auto"/>
            <w:tcMar>
              <w:top w:w="72" w:type="dxa"/>
              <w:left w:w="144" w:type="dxa"/>
              <w:bottom w:w="72" w:type="dxa"/>
              <w:right w:w="144" w:type="dxa"/>
            </w:tcMar>
            <w:vAlign w:val="center"/>
            <w:hideMark/>
          </w:tcPr>
          <w:p w14:paraId="50F1698A" w14:textId="77777777" w:rsidR="008952D3" w:rsidRPr="00DD1141" w:rsidRDefault="008952D3" w:rsidP="007B38D7">
            <w:pPr>
              <w:autoSpaceDE w:val="0"/>
              <w:autoSpaceDN w:val="0"/>
              <w:adjustRightInd w:val="0"/>
              <w:snapToGrid w:val="0"/>
              <w:spacing w:line="240" w:lineRule="auto"/>
              <w:jc w:val="center"/>
              <w:rPr>
                <w:b/>
              </w:rPr>
            </w:pPr>
            <w:r w:rsidRPr="00DD1141">
              <w:rPr>
                <w:b/>
                <w:bCs/>
                <w:kern w:val="24"/>
              </w:rPr>
              <w:t>utilized (n)</w:t>
            </w:r>
          </w:p>
        </w:tc>
        <w:tc>
          <w:tcPr>
            <w:tcW w:w="1309" w:type="dxa"/>
            <w:tcBorders>
              <w:top w:val="single" w:sz="8" w:space="0" w:color="000000"/>
              <w:bottom w:val="single" w:sz="4" w:space="0" w:color="000000"/>
            </w:tcBorders>
            <w:shd w:val="clear" w:color="auto" w:fill="auto"/>
            <w:tcMar>
              <w:top w:w="72" w:type="dxa"/>
              <w:left w:w="144" w:type="dxa"/>
              <w:bottom w:w="72" w:type="dxa"/>
              <w:right w:w="144" w:type="dxa"/>
            </w:tcMar>
            <w:vAlign w:val="center"/>
            <w:hideMark/>
          </w:tcPr>
          <w:p w14:paraId="586AB67D" w14:textId="77777777" w:rsidR="008952D3" w:rsidRPr="00DD1141" w:rsidRDefault="008952D3" w:rsidP="007B38D7">
            <w:pPr>
              <w:autoSpaceDE w:val="0"/>
              <w:autoSpaceDN w:val="0"/>
              <w:adjustRightInd w:val="0"/>
              <w:snapToGrid w:val="0"/>
              <w:spacing w:line="240" w:lineRule="auto"/>
              <w:jc w:val="center"/>
              <w:rPr>
                <w:b/>
              </w:rPr>
            </w:pPr>
            <w:r w:rsidRPr="00DD1141">
              <w:rPr>
                <w:b/>
                <w:bCs/>
                <w:kern w:val="24"/>
              </w:rPr>
              <w:t>dead (n)</w:t>
            </w:r>
          </w:p>
        </w:tc>
        <w:tc>
          <w:tcPr>
            <w:tcW w:w="1435" w:type="dxa"/>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10E7ADB5" w14:textId="77777777" w:rsidR="008952D3" w:rsidRPr="00DD1141" w:rsidRDefault="008952D3" w:rsidP="007B38D7">
            <w:pPr>
              <w:autoSpaceDE w:val="0"/>
              <w:autoSpaceDN w:val="0"/>
              <w:adjustRightInd w:val="0"/>
              <w:snapToGrid w:val="0"/>
              <w:spacing w:line="240" w:lineRule="auto"/>
              <w:jc w:val="center"/>
              <w:rPr>
                <w:b/>
              </w:rPr>
            </w:pPr>
            <w:r w:rsidRPr="00DD1141">
              <w:rPr>
                <w:b/>
                <w:bCs/>
                <w:kern w:val="24"/>
              </w:rPr>
              <w:t>living (n)</w:t>
            </w:r>
          </w:p>
        </w:tc>
        <w:tc>
          <w:tcPr>
            <w:tcW w:w="1767" w:type="dxa"/>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22FFB97E" w14:textId="77777777" w:rsidR="008952D3" w:rsidRPr="00DD1141" w:rsidRDefault="008952D3" w:rsidP="007B38D7">
            <w:pPr>
              <w:autoSpaceDE w:val="0"/>
              <w:autoSpaceDN w:val="0"/>
              <w:adjustRightInd w:val="0"/>
              <w:snapToGrid w:val="0"/>
              <w:spacing w:line="240" w:lineRule="auto"/>
              <w:jc w:val="center"/>
              <w:rPr>
                <w:b/>
              </w:rPr>
            </w:pPr>
            <w:r w:rsidRPr="00DD1141">
              <w:rPr>
                <w:b/>
                <w:bCs/>
                <w:kern w:val="24"/>
              </w:rPr>
              <w:t>mortality (%)</w:t>
            </w:r>
          </w:p>
        </w:tc>
      </w:tr>
      <w:tr w:rsidR="007B38D7" w:rsidRPr="00DD1141" w14:paraId="18B262D7" w14:textId="77777777" w:rsidTr="007B38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20" w:firstRow="1" w:lastRow="0" w:firstColumn="0" w:lastColumn="0" w:noHBand="0" w:noVBand="1"/>
        </w:tblPrEx>
        <w:tc>
          <w:tcPr>
            <w:tcW w:w="1494" w:type="dxa"/>
            <w:gridSpan w:val="2"/>
            <w:tcBorders>
              <w:top w:val="single" w:sz="4" w:space="0" w:color="000000"/>
              <w:bottom w:val="single" w:sz="8" w:space="0" w:color="000000"/>
            </w:tcBorders>
            <w:shd w:val="clear" w:color="auto" w:fill="auto"/>
            <w:tcMar>
              <w:top w:w="72" w:type="dxa"/>
              <w:left w:w="144" w:type="dxa"/>
              <w:bottom w:w="72" w:type="dxa"/>
              <w:right w:w="144" w:type="dxa"/>
            </w:tcMar>
            <w:vAlign w:val="center"/>
            <w:hideMark/>
          </w:tcPr>
          <w:p w14:paraId="786E8CD8" w14:textId="77777777" w:rsidR="008952D3" w:rsidRPr="00DD1141" w:rsidRDefault="008952D3" w:rsidP="007B38D7">
            <w:pPr>
              <w:autoSpaceDE w:val="0"/>
              <w:autoSpaceDN w:val="0"/>
              <w:adjustRightInd w:val="0"/>
              <w:snapToGrid w:val="0"/>
              <w:spacing w:line="240" w:lineRule="auto"/>
              <w:jc w:val="center"/>
            </w:pPr>
            <w:r w:rsidRPr="00DD1141">
              <w:t>Untreated</w:t>
            </w:r>
          </w:p>
        </w:tc>
        <w:tc>
          <w:tcPr>
            <w:tcW w:w="1646" w:type="dxa"/>
            <w:tcBorders>
              <w:top w:val="single" w:sz="4" w:space="0" w:color="000000"/>
              <w:bottom w:val="single" w:sz="8" w:space="0" w:color="000000"/>
            </w:tcBorders>
            <w:shd w:val="clear" w:color="auto" w:fill="auto"/>
            <w:tcMar>
              <w:top w:w="72" w:type="dxa"/>
              <w:left w:w="144" w:type="dxa"/>
              <w:bottom w:w="72" w:type="dxa"/>
              <w:right w:w="144" w:type="dxa"/>
            </w:tcMar>
            <w:vAlign w:val="center"/>
            <w:hideMark/>
          </w:tcPr>
          <w:p w14:paraId="441E24A4" w14:textId="77777777" w:rsidR="008952D3" w:rsidRPr="00DD1141" w:rsidRDefault="008952D3" w:rsidP="007B38D7">
            <w:pPr>
              <w:autoSpaceDE w:val="0"/>
              <w:autoSpaceDN w:val="0"/>
              <w:adjustRightInd w:val="0"/>
              <w:snapToGrid w:val="0"/>
              <w:spacing w:line="240" w:lineRule="auto"/>
              <w:jc w:val="center"/>
            </w:pPr>
            <w:r w:rsidRPr="00DD1141">
              <w:rPr>
                <w:bCs/>
                <w:kern w:val="24"/>
              </w:rPr>
              <w:t>135</w:t>
            </w:r>
          </w:p>
        </w:tc>
        <w:tc>
          <w:tcPr>
            <w:tcW w:w="1309" w:type="dxa"/>
            <w:tcBorders>
              <w:top w:val="single" w:sz="4" w:space="0" w:color="000000"/>
              <w:bottom w:val="single" w:sz="8" w:space="0" w:color="000000"/>
            </w:tcBorders>
            <w:shd w:val="clear" w:color="auto" w:fill="auto"/>
            <w:tcMar>
              <w:top w:w="72" w:type="dxa"/>
              <w:left w:w="144" w:type="dxa"/>
              <w:bottom w:w="72" w:type="dxa"/>
              <w:right w:w="144" w:type="dxa"/>
            </w:tcMar>
            <w:vAlign w:val="center"/>
            <w:hideMark/>
          </w:tcPr>
          <w:p w14:paraId="53709041" w14:textId="77777777" w:rsidR="008952D3" w:rsidRPr="00DD1141" w:rsidRDefault="008952D3" w:rsidP="007B38D7">
            <w:pPr>
              <w:autoSpaceDE w:val="0"/>
              <w:autoSpaceDN w:val="0"/>
              <w:adjustRightInd w:val="0"/>
              <w:snapToGrid w:val="0"/>
              <w:spacing w:line="240" w:lineRule="auto"/>
              <w:jc w:val="center"/>
              <w:rPr>
                <w:bCs/>
                <w:kern w:val="24"/>
              </w:rPr>
            </w:pPr>
            <w:r w:rsidRPr="00DD1141">
              <w:rPr>
                <w:bCs/>
                <w:kern w:val="24"/>
              </w:rPr>
              <w:t>40</w:t>
            </w:r>
            <w:r w:rsidRPr="00DD1141">
              <w:rPr>
                <w:vertAlign w:val="superscript"/>
              </w:rPr>
              <w:t xml:space="preserve"> </w:t>
            </w:r>
          </w:p>
        </w:tc>
        <w:tc>
          <w:tcPr>
            <w:tcW w:w="1435" w:type="dxa"/>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205ADDF0" w14:textId="77777777" w:rsidR="008952D3" w:rsidRPr="00DD1141" w:rsidRDefault="008952D3" w:rsidP="007B38D7">
            <w:pPr>
              <w:autoSpaceDE w:val="0"/>
              <w:autoSpaceDN w:val="0"/>
              <w:adjustRightInd w:val="0"/>
              <w:snapToGrid w:val="0"/>
              <w:spacing w:line="240" w:lineRule="auto"/>
              <w:jc w:val="center"/>
            </w:pPr>
            <w:r w:rsidRPr="00DD1141">
              <w:rPr>
                <w:bCs/>
                <w:kern w:val="24"/>
              </w:rPr>
              <w:t>95</w:t>
            </w:r>
          </w:p>
        </w:tc>
        <w:tc>
          <w:tcPr>
            <w:tcW w:w="1767" w:type="dxa"/>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59010F3C" w14:textId="77777777" w:rsidR="008952D3" w:rsidRPr="00DD1141" w:rsidRDefault="008952D3" w:rsidP="007B38D7">
            <w:pPr>
              <w:autoSpaceDE w:val="0"/>
              <w:autoSpaceDN w:val="0"/>
              <w:adjustRightInd w:val="0"/>
              <w:snapToGrid w:val="0"/>
              <w:spacing w:line="240" w:lineRule="auto"/>
              <w:jc w:val="center"/>
              <w:rPr>
                <w:vertAlign w:val="superscript"/>
              </w:rPr>
            </w:pPr>
            <w:r w:rsidRPr="00DD1141">
              <w:rPr>
                <w:bCs/>
                <w:kern w:val="24"/>
              </w:rPr>
              <w:t>29.63</w:t>
            </w:r>
            <w:r w:rsidRPr="00DD1141">
              <w:rPr>
                <w:bCs/>
                <w:kern w:val="24"/>
                <w:vertAlign w:val="superscript"/>
              </w:rPr>
              <w:t>b</w:t>
            </w:r>
          </w:p>
        </w:tc>
      </w:tr>
      <w:tr w:rsidR="007B38D7" w:rsidRPr="00DD1141" w14:paraId="67C3F3CB" w14:textId="77777777" w:rsidTr="007B38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20" w:firstRow="1" w:lastRow="0" w:firstColumn="0" w:lastColumn="0" w:noHBand="0" w:noVBand="1"/>
        </w:tblPrEx>
        <w:tc>
          <w:tcPr>
            <w:tcW w:w="1494" w:type="dxa"/>
            <w:gridSpan w:val="2"/>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0E86971E" w14:textId="77777777" w:rsidR="008952D3" w:rsidRPr="00DD1141" w:rsidRDefault="008952D3" w:rsidP="007B38D7">
            <w:pPr>
              <w:autoSpaceDE w:val="0"/>
              <w:autoSpaceDN w:val="0"/>
              <w:adjustRightInd w:val="0"/>
              <w:snapToGrid w:val="0"/>
              <w:spacing w:line="240" w:lineRule="auto"/>
              <w:jc w:val="center"/>
            </w:pPr>
            <w:r w:rsidRPr="00DD1141">
              <w:rPr>
                <w:bCs/>
                <w:kern w:val="24"/>
              </w:rPr>
              <w:t>10 m</w:t>
            </w:r>
            <w:r w:rsidRPr="00DD1141">
              <w:rPr>
                <w:kern w:val="24"/>
              </w:rPr>
              <w:t>g/L</w:t>
            </w:r>
          </w:p>
        </w:tc>
        <w:tc>
          <w:tcPr>
            <w:tcW w:w="1646" w:type="dxa"/>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5C601889" w14:textId="77777777" w:rsidR="008952D3" w:rsidRPr="00DD1141" w:rsidRDefault="008952D3" w:rsidP="007B38D7">
            <w:pPr>
              <w:autoSpaceDE w:val="0"/>
              <w:autoSpaceDN w:val="0"/>
              <w:adjustRightInd w:val="0"/>
              <w:snapToGrid w:val="0"/>
              <w:spacing w:line="240" w:lineRule="auto"/>
              <w:jc w:val="center"/>
            </w:pPr>
            <w:r w:rsidRPr="00DD1141">
              <w:rPr>
                <w:bCs/>
                <w:kern w:val="24"/>
              </w:rPr>
              <w:t>135</w:t>
            </w:r>
          </w:p>
        </w:tc>
        <w:tc>
          <w:tcPr>
            <w:tcW w:w="1309" w:type="dxa"/>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6D9A3A46" w14:textId="77777777" w:rsidR="008952D3" w:rsidRPr="00DD1141" w:rsidRDefault="008952D3" w:rsidP="007B38D7">
            <w:pPr>
              <w:autoSpaceDE w:val="0"/>
              <w:autoSpaceDN w:val="0"/>
              <w:adjustRightInd w:val="0"/>
              <w:snapToGrid w:val="0"/>
              <w:spacing w:line="240" w:lineRule="auto"/>
              <w:jc w:val="center"/>
            </w:pPr>
            <w:r w:rsidRPr="00DD1141">
              <w:rPr>
                <w:bCs/>
                <w:kern w:val="24"/>
              </w:rPr>
              <w:t>47</w:t>
            </w:r>
            <w:r w:rsidRPr="00DD1141">
              <w:rPr>
                <w:vertAlign w:val="superscript"/>
              </w:rPr>
              <w:t xml:space="preserve"> </w:t>
            </w:r>
          </w:p>
        </w:tc>
        <w:tc>
          <w:tcPr>
            <w:tcW w:w="1435" w:type="dxa"/>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50BA8EF5" w14:textId="77777777" w:rsidR="008952D3" w:rsidRPr="00DD1141" w:rsidRDefault="008952D3" w:rsidP="007B38D7">
            <w:pPr>
              <w:autoSpaceDE w:val="0"/>
              <w:autoSpaceDN w:val="0"/>
              <w:adjustRightInd w:val="0"/>
              <w:snapToGrid w:val="0"/>
              <w:spacing w:line="240" w:lineRule="auto"/>
              <w:jc w:val="center"/>
            </w:pPr>
            <w:r w:rsidRPr="00DD1141">
              <w:rPr>
                <w:bCs/>
                <w:kern w:val="24"/>
              </w:rPr>
              <w:t>88</w:t>
            </w:r>
            <w:r w:rsidRPr="00DD1141">
              <w:rPr>
                <w:vertAlign w:val="superscript"/>
              </w:rPr>
              <w:t xml:space="preserve"> </w:t>
            </w:r>
          </w:p>
        </w:tc>
        <w:tc>
          <w:tcPr>
            <w:tcW w:w="1767" w:type="dxa"/>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200B2CD7" w14:textId="77777777" w:rsidR="008952D3" w:rsidRPr="00DD1141" w:rsidRDefault="008952D3" w:rsidP="007B38D7">
            <w:pPr>
              <w:autoSpaceDE w:val="0"/>
              <w:autoSpaceDN w:val="0"/>
              <w:adjustRightInd w:val="0"/>
              <w:snapToGrid w:val="0"/>
              <w:spacing w:line="240" w:lineRule="auto"/>
              <w:jc w:val="center"/>
              <w:rPr>
                <w:vertAlign w:val="superscript"/>
              </w:rPr>
            </w:pPr>
            <w:r w:rsidRPr="00DD1141">
              <w:rPr>
                <w:bCs/>
                <w:kern w:val="24"/>
              </w:rPr>
              <w:t>34.81</w:t>
            </w:r>
            <w:r w:rsidRPr="00DD1141">
              <w:rPr>
                <w:bCs/>
                <w:kern w:val="24"/>
                <w:vertAlign w:val="superscript"/>
              </w:rPr>
              <w:t>b</w:t>
            </w:r>
          </w:p>
        </w:tc>
      </w:tr>
      <w:tr w:rsidR="007B38D7" w:rsidRPr="00DD1141" w14:paraId="64BD0EF9" w14:textId="77777777" w:rsidTr="007B38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20" w:firstRow="1" w:lastRow="0" w:firstColumn="0" w:lastColumn="0" w:noHBand="0" w:noVBand="1"/>
        </w:tblPrEx>
        <w:tc>
          <w:tcPr>
            <w:tcW w:w="1494" w:type="dxa"/>
            <w:gridSpan w:val="2"/>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636C9BB8" w14:textId="77777777" w:rsidR="008952D3" w:rsidRPr="00DD1141" w:rsidRDefault="008952D3" w:rsidP="007B38D7">
            <w:pPr>
              <w:autoSpaceDE w:val="0"/>
              <w:autoSpaceDN w:val="0"/>
              <w:adjustRightInd w:val="0"/>
              <w:snapToGrid w:val="0"/>
              <w:spacing w:line="240" w:lineRule="auto"/>
              <w:jc w:val="center"/>
            </w:pPr>
            <w:r w:rsidRPr="00DD1141">
              <w:rPr>
                <w:bCs/>
                <w:kern w:val="24"/>
              </w:rPr>
              <w:t>20 m</w:t>
            </w:r>
            <w:r w:rsidRPr="00DD1141">
              <w:rPr>
                <w:kern w:val="24"/>
              </w:rPr>
              <w:t>g/L</w:t>
            </w:r>
          </w:p>
        </w:tc>
        <w:tc>
          <w:tcPr>
            <w:tcW w:w="1646" w:type="dxa"/>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589ECE0A" w14:textId="77777777" w:rsidR="008952D3" w:rsidRPr="00DD1141" w:rsidRDefault="008952D3" w:rsidP="007B38D7">
            <w:pPr>
              <w:autoSpaceDE w:val="0"/>
              <w:autoSpaceDN w:val="0"/>
              <w:adjustRightInd w:val="0"/>
              <w:snapToGrid w:val="0"/>
              <w:spacing w:line="240" w:lineRule="auto"/>
              <w:jc w:val="center"/>
            </w:pPr>
            <w:r w:rsidRPr="00DD1141">
              <w:rPr>
                <w:bCs/>
                <w:kern w:val="24"/>
              </w:rPr>
              <w:t>135</w:t>
            </w:r>
          </w:p>
        </w:tc>
        <w:tc>
          <w:tcPr>
            <w:tcW w:w="1309" w:type="dxa"/>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5F533A8F" w14:textId="77777777" w:rsidR="008952D3" w:rsidRPr="00DD1141" w:rsidRDefault="008952D3" w:rsidP="007B38D7">
            <w:pPr>
              <w:autoSpaceDE w:val="0"/>
              <w:autoSpaceDN w:val="0"/>
              <w:adjustRightInd w:val="0"/>
              <w:snapToGrid w:val="0"/>
              <w:spacing w:line="240" w:lineRule="auto"/>
              <w:jc w:val="center"/>
            </w:pPr>
            <w:r w:rsidRPr="00DD1141">
              <w:t>64</w:t>
            </w:r>
            <w:r w:rsidRPr="00DD1141">
              <w:rPr>
                <w:vertAlign w:val="superscript"/>
              </w:rPr>
              <w:t xml:space="preserve"> </w:t>
            </w:r>
          </w:p>
        </w:tc>
        <w:tc>
          <w:tcPr>
            <w:tcW w:w="1435" w:type="dxa"/>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16FA737E" w14:textId="77777777" w:rsidR="008952D3" w:rsidRPr="00DD1141" w:rsidRDefault="008952D3" w:rsidP="007B38D7">
            <w:pPr>
              <w:autoSpaceDE w:val="0"/>
              <w:autoSpaceDN w:val="0"/>
              <w:adjustRightInd w:val="0"/>
              <w:snapToGrid w:val="0"/>
              <w:spacing w:line="240" w:lineRule="auto"/>
              <w:jc w:val="center"/>
            </w:pPr>
            <w:r w:rsidRPr="00DD1141">
              <w:rPr>
                <w:bCs/>
                <w:kern w:val="24"/>
              </w:rPr>
              <w:t>71</w:t>
            </w:r>
            <w:r w:rsidRPr="00DD1141">
              <w:rPr>
                <w:vertAlign w:val="superscript"/>
              </w:rPr>
              <w:t xml:space="preserve"> </w:t>
            </w:r>
          </w:p>
        </w:tc>
        <w:tc>
          <w:tcPr>
            <w:tcW w:w="1767" w:type="dxa"/>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212D5FB3" w14:textId="77777777" w:rsidR="008952D3" w:rsidRPr="00DD1141" w:rsidRDefault="008952D3" w:rsidP="007B38D7">
            <w:pPr>
              <w:autoSpaceDE w:val="0"/>
              <w:autoSpaceDN w:val="0"/>
              <w:adjustRightInd w:val="0"/>
              <w:snapToGrid w:val="0"/>
              <w:spacing w:line="240" w:lineRule="auto"/>
              <w:jc w:val="center"/>
              <w:rPr>
                <w:vertAlign w:val="superscript"/>
              </w:rPr>
            </w:pPr>
            <w:r w:rsidRPr="00DD1141">
              <w:rPr>
                <w:bCs/>
                <w:kern w:val="24"/>
              </w:rPr>
              <w:t>47.41</w:t>
            </w:r>
            <w:r w:rsidRPr="00DD1141">
              <w:rPr>
                <w:bCs/>
                <w:kern w:val="24"/>
                <w:vertAlign w:val="superscript"/>
              </w:rPr>
              <w:t>a</w:t>
            </w:r>
          </w:p>
        </w:tc>
      </w:tr>
      <w:tr w:rsidR="007B38D7" w:rsidRPr="00DD1141" w14:paraId="6EF1911E" w14:textId="77777777" w:rsidTr="007B38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20" w:firstRow="1" w:lastRow="0" w:firstColumn="0" w:lastColumn="0" w:noHBand="0" w:noVBand="1"/>
        </w:tblPrEx>
        <w:tc>
          <w:tcPr>
            <w:tcW w:w="1494" w:type="dxa"/>
            <w:gridSpan w:val="2"/>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43F44218" w14:textId="77777777" w:rsidR="008952D3" w:rsidRPr="00DD1141" w:rsidRDefault="008952D3" w:rsidP="007B38D7">
            <w:pPr>
              <w:autoSpaceDE w:val="0"/>
              <w:autoSpaceDN w:val="0"/>
              <w:adjustRightInd w:val="0"/>
              <w:snapToGrid w:val="0"/>
              <w:spacing w:line="240" w:lineRule="auto"/>
              <w:jc w:val="center"/>
            </w:pPr>
            <w:r w:rsidRPr="00DD1141">
              <w:rPr>
                <w:bCs/>
                <w:kern w:val="24"/>
              </w:rPr>
              <w:t>40 m</w:t>
            </w:r>
            <w:r w:rsidRPr="00DD1141">
              <w:rPr>
                <w:kern w:val="24"/>
              </w:rPr>
              <w:t>g/L</w:t>
            </w:r>
          </w:p>
        </w:tc>
        <w:tc>
          <w:tcPr>
            <w:tcW w:w="1646" w:type="dxa"/>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0C98722E" w14:textId="77777777" w:rsidR="008952D3" w:rsidRPr="00DD1141" w:rsidRDefault="008952D3" w:rsidP="007B38D7">
            <w:pPr>
              <w:autoSpaceDE w:val="0"/>
              <w:autoSpaceDN w:val="0"/>
              <w:adjustRightInd w:val="0"/>
              <w:snapToGrid w:val="0"/>
              <w:spacing w:line="240" w:lineRule="auto"/>
              <w:jc w:val="center"/>
            </w:pPr>
            <w:r w:rsidRPr="00DD1141">
              <w:rPr>
                <w:bCs/>
                <w:kern w:val="24"/>
              </w:rPr>
              <w:t>135</w:t>
            </w:r>
          </w:p>
        </w:tc>
        <w:tc>
          <w:tcPr>
            <w:tcW w:w="1309" w:type="dxa"/>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4F6111EC" w14:textId="77777777" w:rsidR="008952D3" w:rsidRPr="00DD1141" w:rsidRDefault="008952D3" w:rsidP="007B38D7">
            <w:pPr>
              <w:autoSpaceDE w:val="0"/>
              <w:autoSpaceDN w:val="0"/>
              <w:adjustRightInd w:val="0"/>
              <w:snapToGrid w:val="0"/>
              <w:spacing w:line="240" w:lineRule="auto"/>
              <w:jc w:val="center"/>
            </w:pPr>
            <w:r w:rsidRPr="00DD1141">
              <w:t>44</w:t>
            </w:r>
            <w:r w:rsidRPr="00DD1141">
              <w:rPr>
                <w:vertAlign w:val="superscript"/>
              </w:rPr>
              <w:t xml:space="preserve"> </w:t>
            </w:r>
          </w:p>
        </w:tc>
        <w:tc>
          <w:tcPr>
            <w:tcW w:w="1435" w:type="dxa"/>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59F961F3" w14:textId="77777777" w:rsidR="008952D3" w:rsidRPr="00DD1141" w:rsidRDefault="008952D3" w:rsidP="007B38D7">
            <w:pPr>
              <w:autoSpaceDE w:val="0"/>
              <w:autoSpaceDN w:val="0"/>
              <w:adjustRightInd w:val="0"/>
              <w:snapToGrid w:val="0"/>
              <w:spacing w:line="240" w:lineRule="auto"/>
              <w:jc w:val="center"/>
            </w:pPr>
            <w:r w:rsidRPr="00DD1141">
              <w:rPr>
                <w:bCs/>
                <w:kern w:val="24"/>
              </w:rPr>
              <w:t>91</w:t>
            </w:r>
            <w:r w:rsidRPr="00DD1141">
              <w:rPr>
                <w:vertAlign w:val="superscript"/>
              </w:rPr>
              <w:t xml:space="preserve"> </w:t>
            </w:r>
          </w:p>
        </w:tc>
        <w:tc>
          <w:tcPr>
            <w:tcW w:w="1767" w:type="dxa"/>
            <w:tcBorders>
              <w:top w:val="single" w:sz="8" w:space="0" w:color="000000"/>
              <w:bottom w:val="single" w:sz="8" w:space="0" w:color="000000"/>
            </w:tcBorders>
            <w:shd w:val="clear" w:color="auto" w:fill="auto"/>
            <w:tcMar>
              <w:top w:w="72" w:type="dxa"/>
              <w:left w:w="144" w:type="dxa"/>
              <w:bottom w:w="72" w:type="dxa"/>
              <w:right w:w="144" w:type="dxa"/>
            </w:tcMar>
            <w:vAlign w:val="center"/>
            <w:hideMark/>
          </w:tcPr>
          <w:p w14:paraId="4F2F919A" w14:textId="77777777" w:rsidR="008952D3" w:rsidRPr="00DD1141" w:rsidRDefault="008952D3" w:rsidP="007B38D7">
            <w:pPr>
              <w:autoSpaceDE w:val="0"/>
              <w:autoSpaceDN w:val="0"/>
              <w:adjustRightInd w:val="0"/>
              <w:snapToGrid w:val="0"/>
              <w:spacing w:line="240" w:lineRule="auto"/>
              <w:jc w:val="center"/>
              <w:rPr>
                <w:vertAlign w:val="superscript"/>
              </w:rPr>
            </w:pPr>
            <w:r w:rsidRPr="00DD1141">
              <w:rPr>
                <w:bCs/>
                <w:kern w:val="24"/>
              </w:rPr>
              <w:t>32.59</w:t>
            </w:r>
            <w:r w:rsidRPr="00DD1141">
              <w:rPr>
                <w:bCs/>
                <w:kern w:val="24"/>
                <w:vertAlign w:val="superscript"/>
              </w:rPr>
              <w:t>b</w:t>
            </w:r>
          </w:p>
        </w:tc>
      </w:tr>
      <w:tr w:rsidR="007B38D7" w:rsidRPr="00DD1141" w14:paraId="66C77951" w14:textId="77777777" w:rsidTr="007B38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20" w:firstRow="1" w:lastRow="0" w:firstColumn="0" w:lastColumn="0" w:noHBand="0" w:noVBand="1"/>
        </w:tblPrEx>
        <w:tc>
          <w:tcPr>
            <w:tcW w:w="7651" w:type="dxa"/>
            <w:gridSpan w:val="6"/>
            <w:tcBorders>
              <w:top w:val="single" w:sz="8" w:space="0" w:color="000000"/>
              <w:bottom w:val="single" w:sz="8" w:space="0" w:color="auto"/>
            </w:tcBorders>
            <w:shd w:val="clear" w:color="auto" w:fill="auto"/>
            <w:tcMar>
              <w:top w:w="72" w:type="dxa"/>
              <w:left w:w="144" w:type="dxa"/>
              <w:bottom w:w="72" w:type="dxa"/>
              <w:right w:w="144" w:type="dxa"/>
            </w:tcMar>
            <w:vAlign w:val="center"/>
          </w:tcPr>
          <w:p w14:paraId="4616765C" w14:textId="350D5DC4" w:rsidR="008952D3" w:rsidRPr="00DD1141" w:rsidRDefault="008952D3" w:rsidP="007B38D7">
            <w:pPr>
              <w:autoSpaceDE w:val="0"/>
              <w:autoSpaceDN w:val="0"/>
              <w:adjustRightInd w:val="0"/>
              <w:snapToGrid w:val="0"/>
              <w:spacing w:line="240" w:lineRule="auto"/>
              <w:jc w:val="center"/>
            </w:pPr>
            <w:r w:rsidRPr="00DD1141">
              <w:t xml:space="preserve">n = number embryos used; </w:t>
            </w:r>
            <w:r w:rsidRPr="00DD1141">
              <w:rPr>
                <w:vertAlign w:val="superscript"/>
              </w:rPr>
              <w:t xml:space="preserve">a </w:t>
            </w:r>
            <w:r w:rsidRPr="00DD1141">
              <w:t>Chi square test p&lt;0.01</w:t>
            </w:r>
          </w:p>
        </w:tc>
      </w:tr>
    </w:tbl>
    <w:p w14:paraId="5D6A50DC" w14:textId="4BBD70BC" w:rsidR="008952D3" w:rsidRPr="00DD1141" w:rsidRDefault="007B38D7" w:rsidP="007B38D7">
      <w:pPr>
        <w:pStyle w:val="MDPI41tablecaption"/>
      </w:pPr>
      <w:r w:rsidRPr="00DD1141">
        <w:rPr>
          <w:b/>
        </w:rPr>
        <w:t xml:space="preserve">Table 2. </w:t>
      </w:r>
      <w:r w:rsidR="008952D3" w:rsidRPr="00DD1141">
        <w:rPr>
          <w:i/>
          <w:iCs/>
        </w:rPr>
        <w:t>Xenopus laevis</w:t>
      </w:r>
      <w:r w:rsidR="008952D3" w:rsidRPr="00DD1141">
        <w:t xml:space="preserve"> embryo mortality</w:t>
      </w:r>
      <w:r w:rsidRPr="00DD1141">
        <w:t>.</w:t>
      </w:r>
    </w:p>
    <w:p w14:paraId="564CF6C6" w14:textId="77777777" w:rsidR="008952D3" w:rsidRPr="00DD1141" w:rsidRDefault="008952D3" w:rsidP="007B38D7">
      <w:pPr>
        <w:pStyle w:val="MDPI52figure"/>
        <w:rPr>
          <w:lang w:val="en-GB"/>
        </w:rPr>
      </w:pPr>
      <w:r w:rsidRPr="00DD1141">
        <w:rPr>
          <w:noProof/>
          <w:lang w:val="it-IT" w:eastAsia="it-IT" w:bidi="ar-SA"/>
        </w:rPr>
        <w:drawing>
          <wp:inline distT="0" distB="0" distL="0" distR="0" wp14:anchorId="5A4204C5" wp14:editId="31BDD80D">
            <wp:extent cx="6119495" cy="3129915"/>
            <wp:effectExtent l="0" t="0" r="0" b="0"/>
            <wp:docPr id="27" name="Immagine 3" descr="C:\Users\toshiba\Desktop\Tattoo finale\Fig.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C:\Users\toshiba\Desktop\Tattoo finale\Fig.3.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9495" cy="3129915"/>
                    </a:xfrm>
                    <a:prstGeom prst="rect">
                      <a:avLst/>
                    </a:prstGeom>
                    <a:noFill/>
                    <a:ln>
                      <a:noFill/>
                    </a:ln>
                  </pic:spPr>
                </pic:pic>
              </a:graphicData>
            </a:graphic>
          </wp:inline>
        </w:drawing>
      </w:r>
    </w:p>
    <w:p w14:paraId="667CF8B6" w14:textId="17439013" w:rsidR="008952D3" w:rsidRPr="00DD1141" w:rsidRDefault="007B38D7" w:rsidP="007B38D7">
      <w:pPr>
        <w:pStyle w:val="MDPI51figurecaption"/>
        <w:ind w:left="425" w:right="425"/>
        <w:jc w:val="both"/>
        <w:rPr>
          <w:rFonts w:eastAsia="Calibri"/>
          <w:b/>
          <w:lang w:eastAsia="en-US"/>
        </w:rPr>
      </w:pPr>
      <w:r w:rsidRPr="00DD1141">
        <w:rPr>
          <w:b/>
          <w:lang w:val="en-GB"/>
        </w:rPr>
        <w:t xml:space="preserve">Figure 3. </w:t>
      </w:r>
      <w:r w:rsidR="008952D3" w:rsidRPr="00DD1141">
        <w:rPr>
          <w:i/>
          <w:lang w:val="en-GB"/>
        </w:rPr>
        <w:t>Daphnia magna</w:t>
      </w:r>
      <w:r w:rsidR="008952D3" w:rsidRPr="00DD1141">
        <w:rPr>
          <w:lang w:val="en-GB"/>
        </w:rPr>
        <w:t xml:space="preserve"> exposure. Immobility of </w:t>
      </w:r>
      <w:r w:rsidR="008952D3" w:rsidRPr="00DD1141">
        <w:rPr>
          <w:i/>
          <w:lang w:val="en-GB"/>
        </w:rPr>
        <w:t>Daphnia magna</w:t>
      </w:r>
      <w:r w:rsidR="008952D3" w:rsidRPr="00DD1141">
        <w:rPr>
          <w:lang w:val="en-GB"/>
        </w:rPr>
        <w:t xml:space="preserve"> after 48 h of exposure (A); </w:t>
      </w:r>
      <w:r w:rsidR="008952D3" w:rsidRPr="00DD1141">
        <w:rPr>
          <w:i/>
          <w:lang w:val="en-GB"/>
        </w:rPr>
        <w:t>D. magna</w:t>
      </w:r>
      <w:r w:rsidR="008952D3" w:rsidRPr="00DD1141">
        <w:rPr>
          <w:lang w:val="en-GB"/>
        </w:rPr>
        <w:t xml:space="preserve"> exposed to PR170 samples at different concentration: Control (Ctr), 10 mg/L and 20mg/L.</w:t>
      </w:r>
    </w:p>
    <w:p w14:paraId="020160A5" w14:textId="2FE8B45B" w:rsidR="008952D3" w:rsidRPr="00DD1141" w:rsidRDefault="001F7E14" w:rsidP="001F7E14">
      <w:pPr>
        <w:pStyle w:val="MDPI22heading2"/>
        <w:spacing w:before="240"/>
        <w:rPr>
          <w:lang w:val="en-GB"/>
        </w:rPr>
      </w:pPr>
      <w:r w:rsidRPr="00DD1141">
        <w:rPr>
          <w:lang w:val="en-GB"/>
        </w:rPr>
        <w:t xml:space="preserve">3.3. </w:t>
      </w:r>
      <w:r w:rsidR="008952D3" w:rsidRPr="00DD1141">
        <w:rPr>
          <w:lang w:val="en-GB"/>
        </w:rPr>
        <w:t xml:space="preserve">PR170 does not </w:t>
      </w:r>
      <w:r w:rsidRPr="00DD1141">
        <w:rPr>
          <w:lang w:val="en-GB"/>
        </w:rPr>
        <w:t xml:space="preserve">Change </w:t>
      </w:r>
      <w:r w:rsidR="008952D3" w:rsidRPr="00DD1141">
        <w:rPr>
          <w:lang w:val="en-GB"/>
        </w:rPr>
        <w:t xml:space="preserve">the </w:t>
      </w:r>
      <w:r w:rsidRPr="00DD1141">
        <w:rPr>
          <w:lang w:val="en-GB"/>
        </w:rPr>
        <w:t xml:space="preserve">Growth Rate </w:t>
      </w:r>
      <w:r w:rsidR="008952D3" w:rsidRPr="00DD1141">
        <w:rPr>
          <w:lang w:val="en-GB"/>
        </w:rPr>
        <w:t xml:space="preserve">but </w:t>
      </w:r>
      <w:r w:rsidRPr="00DD1141">
        <w:rPr>
          <w:lang w:val="en-GB"/>
        </w:rPr>
        <w:t xml:space="preserve">Causes Anomalies </w:t>
      </w:r>
      <w:r w:rsidR="008952D3" w:rsidRPr="00DD1141">
        <w:rPr>
          <w:lang w:val="en-GB"/>
        </w:rPr>
        <w:t xml:space="preserve">and </w:t>
      </w:r>
      <w:r w:rsidRPr="00DD1141">
        <w:rPr>
          <w:lang w:val="en-GB"/>
        </w:rPr>
        <w:t xml:space="preserve">Tachycardia </w:t>
      </w:r>
      <w:r w:rsidR="008952D3" w:rsidRPr="00DD1141">
        <w:rPr>
          <w:lang w:val="en-GB"/>
        </w:rPr>
        <w:t xml:space="preserve">in Xenopus </w:t>
      </w:r>
      <w:r w:rsidRPr="00DD1141">
        <w:rPr>
          <w:lang w:val="en-GB"/>
        </w:rPr>
        <w:t>Laevis Embryos</w:t>
      </w:r>
    </w:p>
    <w:p w14:paraId="09E552F7" w14:textId="77777777" w:rsidR="008952D3" w:rsidRPr="00DD1141" w:rsidRDefault="008952D3" w:rsidP="004076B5">
      <w:pPr>
        <w:pStyle w:val="MDPI31text"/>
      </w:pPr>
      <w:r w:rsidRPr="00DD1141">
        <w:rPr>
          <w:lang w:val="en-GB"/>
        </w:rPr>
        <w:t>Treated embryos showed unmodified length with respect to the control (n = 120, p</w:t>
      </w:r>
      <w:r w:rsidRPr="00DD1141">
        <w:rPr>
          <w:rFonts w:ascii="Times New Roman" w:hAnsi="Times New Roman"/>
          <w:lang w:val="en-GB"/>
        </w:rPr>
        <w:t>˃</w:t>
      </w:r>
      <w:r w:rsidRPr="00DD1141">
        <w:rPr>
          <w:lang w:val="en-GB"/>
        </w:rPr>
        <w:t>0.05) (Fig. 2B), but they presented abnormalities in a small percentage (Figs. 4, 5).</w:t>
      </w:r>
      <w:r w:rsidRPr="00DD1141">
        <w:t xml:space="preserve"> These malformations are visible at all concentrations, but with higher frequency in embryos treated with </w:t>
      </w:r>
      <w:r w:rsidRPr="00DD1141">
        <w:rPr>
          <w:bCs/>
          <w:lang w:val="en-GB"/>
        </w:rPr>
        <w:t>20 mg/L</w:t>
      </w:r>
      <w:r w:rsidRPr="00DD1141">
        <w:t xml:space="preserve">of PR170 where exceeded the 25%, twice as much as the control (about 12%). The anomalies observed mainly concerned the presence of very extensive edema of the abdomen and heart areas (Fig. 4D-F,asterisks).The distribution of the pigment was modified (Fig.4D and G, arrowhead) and in some cases the embryos were completely pigmented (Fig.4G).The PR170 pigment completely invaded the intestine (Fig. 4C (arrow) and Fig. 5B’, arrowhead) adhering tightly to the walls (Fig. 5B”, double arrows) while it was not visible in the gills (Fig. 5C, asterisk) or other organs. In some cases the intestine protruded from the abdomen (Fig. 4, double arrows), less frequently we observed folded tails (Fig. 4 B and D, white line) misshapen eyes (Fig. 4D and Fig. 5A’, empty arrowhead) or eyes different in size from controls (Fig. 4E, empty arrowhead). Treated </w:t>
      </w:r>
      <w:r w:rsidRPr="00DD1141">
        <w:lastRenderedPageBreak/>
        <w:t xml:space="preserve">embryos (n = 144, p&lt;0.0001) showed modification of the heart rate; they are, in fact, tachycards compared to control, in particular embryos treated with </w:t>
      </w:r>
      <w:r w:rsidRPr="00DD1141">
        <w:rPr>
          <w:bCs/>
          <w:lang w:val="en-GB"/>
        </w:rPr>
        <w:t xml:space="preserve">40 mg/L </w:t>
      </w:r>
      <w:r w:rsidRPr="00DD1141">
        <w:t>of PR170 (Fig. 2C).</w:t>
      </w:r>
    </w:p>
    <w:p w14:paraId="1F3607CA" w14:textId="77777777" w:rsidR="008952D3" w:rsidRPr="00DD1141" w:rsidRDefault="008952D3" w:rsidP="004076B5">
      <w:pPr>
        <w:pStyle w:val="MDPI52figure"/>
        <w:rPr>
          <w:lang w:val="en-GB"/>
        </w:rPr>
      </w:pPr>
      <w:r w:rsidRPr="00DD1141">
        <w:rPr>
          <w:noProof/>
          <w:lang w:val="it-IT" w:eastAsia="it-IT" w:bidi="ar-SA"/>
        </w:rPr>
        <w:drawing>
          <wp:inline distT="0" distB="0" distL="0" distR="0" wp14:anchorId="5B16466F" wp14:editId="0098F6C1">
            <wp:extent cx="6119495" cy="2473325"/>
            <wp:effectExtent l="0" t="0" r="0" b="0"/>
            <wp:docPr id="26" name="Immagine 4" descr="C:\Users\toshiba\Desktop\Tattoo finale\Fig.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C:\Users\toshiba\Desktop\Tattoo finale\Fig.4.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19495" cy="2473325"/>
                    </a:xfrm>
                    <a:prstGeom prst="rect">
                      <a:avLst/>
                    </a:prstGeom>
                    <a:noFill/>
                    <a:ln>
                      <a:noFill/>
                    </a:ln>
                  </pic:spPr>
                </pic:pic>
              </a:graphicData>
            </a:graphic>
          </wp:inline>
        </w:drawing>
      </w:r>
    </w:p>
    <w:p w14:paraId="7CB3EC9A" w14:textId="7CEFC907" w:rsidR="008952D3" w:rsidRPr="00DD1141" w:rsidRDefault="004076B5" w:rsidP="004076B5">
      <w:pPr>
        <w:pStyle w:val="MDPI51figurecaption"/>
        <w:ind w:left="425" w:right="425"/>
        <w:jc w:val="both"/>
      </w:pPr>
      <w:r w:rsidRPr="00DD1141">
        <w:rPr>
          <w:b/>
          <w:bCs/>
        </w:rPr>
        <w:t xml:space="preserve">Figure 4. </w:t>
      </w:r>
      <w:r w:rsidR="008952D3" w:rsidRPr="00DD1141">
        <w:rPr>
          <w:bCs/>
        </w:rPr>
        <w:t xml:space="preserve">Effects of treatment with PR170 on </w:t>
      </w:r>
      <w:r w:rsidR="008952D3" w:rsidRPr="00DD1141">
        <w:rPr>
          <w:bCs/>
          <w:i/>
          <w:lang w:val="en-GB"/>
        </w:rPr>
        <w:t>X. laevis</w:t>
      </w:r>
      <w:r w:rsidR="008952D3" w:rsidRPr="00DD1141">
        <w:rPr>
          <w:bCs/>
        </w:rPr>
        <w:t xml:space="preserve"> embryos development.</w:t>
      </w:r>
      <w:r w:rsidR="008952D3" w:rsidRPr="00DD1141">
        <w:rPr>
          <w:b/>
          <w:bCs/>
        </w:rPr>
        <w:t xml:space="preserve"> </w:t>
      </w:r>
      <w:r w:rsidRPr="00DD1141">
        <w:rPr>
          <w:bCs/>
        </w:rPr>
        <w:t>(</w:t>
      </w:r>
      <w:r w:rsidR="008952D3" w:rsidRPr="00DD1141">
        <w:rPr>
          <w:b/>
        </w:rPr>
        <w:t>A</w:t>
      </w:r>
      <w:r w:rsidR="008952D3" w:rsidRPr="00DD1141">
        <w:t xml:space="preserve">) Control. </w:t>
      </w:r>
      <w:r w:rsidRPr="00DD1141">
        <w:t>(</w:t>
      </w:r>
      <w:r w:rsidR="008952D3" w:rsidRPr="00DD1141">
        <w:rPr>
          <w:b/>
        </w:rPr>
        <w:t>B</w:t>
      </w:r>
      <w:r w:rsidR="008952D3" w:rsidRPr="00DD1141">
        <w:t xml:space="preserve">) presence of embryos with fold tail ( white line). </w:t>
      </w:r>
      <w:r w:rsidRPr="00DD1141">
        <w:t>(</w:t>
      </w:r>
      <w:r w:rsidR="008952D3" w:rsidRPr="00DD1141">
        <w:rPr>
          <w:b/>
        </w:rPr>
        <w:t>C</w:t>
      </w:r>
      <w:r w:rsidR="008952D3" w:rsidRPr="00DD1141">
        <w:t xml:space="preserve">) Red pigment invasion of the intestine (arrow). </w:t>
      </w:r>
      <w:r w:rsidRPr="00DD1141">
        <w:t>(</w:t>
      </w:r>
      <w:r w:rsidR="008952D3" w:rsidRPr="00DD1141">
        <w:rPr>
          <w:b/>
        </w:rPr>
        <w:t>D</w:t>
      </w:r>
      <w:r w:rsidR="008952D3" w:rsidRPr="00DD1141">
        <w:t xml:space="preserve">) Presence of head edema (asterisk) accompanied by fold tail (white line), misshapen eyes (empty arrow head) and increase of pigment (white arrowhead). </w:t>
      </w:r>
      <w:r w:rsidRPr="00DD1141">
        <w:t>(</w:t>
      </w:r>
      <w:r w:rsidR="008952D3" w:rsidRPr="00DD1141">
        <w:rPr>
          <w:b/>
        </w:rPr>
        <w:t>E</w:t>
      </w:r>
      <w:r w:rsidR="008952D3" w:rsidRPr="00DD1141">
        <w:t xml:space="preserve">) Excessive pigmentation (white arrowhead) and presence of bigger eyes (empty arrowhead). </w:t>
      </w:r>
      <w:r w:rsidRPr="00DD1141">
        <w:t>(</w:t>
      </w:r>
      <w:r w:rsidR="008952D3" w:rsidRPr="00DD1141">
        <w:rPr>
          <w:b/>
        </w:rPr>
        <w:t>F</w:t>
      </w:r>
      <w:r w:rsidR="008952D3" w:rsidRPr="00DD1141">
        <w:t xml:space="preserve">) widespread edema of head and abdomen (asterisks). </w:t>
      </w:r>
      <w:r w:rsidRPr="00DD1141">
        <w:t>(</w:t>
      </w:r>
      <w:r w:rsidR="008952D3" w:rsidRPr="00DD1141">
        <w:rPr>
          <w:b/>
        </w:rPr>
        <w:t>G</w:t>
      </w:r>
      <w:r w:rsidR="008952D3" w:rsidRPr="00DD1141">
        <w:t>) intestine protrusion from the abdomen (double arrows).</w:t>
      </w:r>
    </w:p>
    <w:p w14:paraId="7EC78B83" w14:textId="77777777" w:rsidR="008952D3" w:rsidRPr="00DD1141" w:rsidRDefault="008952D3" w:rsidP="003D3BD8">
      <w:pPr>
        <w:pStyle w:val="MDPI52figure"/>
        <w:rPr>
          <w:lang w:val="en-GB"/>
        </w:rPr>
      </w:pPr>
      <w:r w:rsidRPr="00DD1141">
        <w:rPr>
          <w:noProof/>
          <w:lang w:val="it-IT" w:eastAsia="it-IT" w:bidi="ar-SA"/>
        </w:rPr>
        <w:drawing>
          <wp:inline distT="0" distB="0" distL="0" distR="0" wp14:anchorId="073F0935" wp14:editId="1850E77C">
            <wp:extent cx="6119495" cy="4038600"/>
            <wp:effectExtent l="0" t="0" r="0" b="0"/>
            <wp:docPr id="25" name="Immagine 5" descr="C:\Users\toshiba\Desktop\Tattoo finale\Fig. 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C:\Users\toshiba\Desktop\Tattoo finale\Fig. 5.t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19495" cy="4038600"/>
                    </a:xfrm>
                    <a:prstGeom prst="rect">
                      <a:avLst/>
                    </a:prstGeom>
                    <a:noFill/>
                    <a:ln>
                      <a:noFill/>
                    </a:ln>
                  </pic:spPr>
                </pic:pic>
              </a:graphicData>
            </a:graphic>
          </wp:inline>
        </w:drawing>
      </w:r>
    </w:p>
    <w:p w14:paraId="5CFDB719" w14:textId="5187A3D7" w:rsidR="008952D3" w:rsidRPr="00DD1141" w:rsidRDefault="003D3BD8" w:rsidP="003D3BD8">
      <w:pPr>
        <w:pStyle w:val="MDPI51figurecaption"/>
        <w:ind w:left="425" w:right="425"/>
        <w:jc w:val="both"/>
      </w:pPr>
      <w:r w:rsidRPr="00DD1141">
        <w:rPr>
          <w:b/>
          <w:bCs/>
        </w:rPr>
        <w:t xml:space="preserve">Figure 5. </w:t>
      </w:r>
      <w:r w:rsidR="008952D3" w:rsidRPr="00DD1141">
        <w:rPr>
          <w:bCs/>
        </w:rPr>
        <w:t xml:space="preserve">Histological analysis of </w:t>
      </w:r>
      <w:r w:rsidR="008952D3" w:rsidRPr="00DD1141">
        <w:rPr>
          <w:bCs/>
          <w:i/>
          <w:lang w:val="en-GB"/>
        </w:rPr>
        <w:t>X. laevis</w:t>
      </w:r>
      <w:r w:rsidR="008952D3" w:rsidRPr="00DD1141">
        <w:rPr>
          <w:bCs/>
        </w:rPr>
        <w:t xml:space="preserve"> embryos treated with PR170 pigment.</w:t>
      </w:r>
      <w:r w:rsidRPr="00DD1141">
        <w:rPr>
          <w:b/>
          <w:bCs/>
        </w:rPr>
        <w:t xml:space="preserve"> </w:t>
      </w:r>
      <w:r w:rsidRPr="00DD1141">
        <w:rPr>
          <w:bCs/>
        </w:rPr>
        <w:t>(</w:t>
      </w:r>
      <w:r w:rsidR="008952D3" w:rsidRPr="00DD1141">
        <w:rPr>
          <w:b/>
        </w:rPr>
        <w:t>A</w:t>
      </w:r>
      <w:r w:rsidR="008952D3" w:rsidRPr="00DD1141">
        <w:t xml:space="preserve">) Control eye. A’) Embryos treated with PR170 pigment in some cases showed eyes with elongated shape (empty arrowhead). </w:t>
      </w:r>
      <w:r w:rsidRPr="00DD1141">
        <w:t>(</w:t>
      </w:r>
      <w:r w:rsidR="008952D3" w:rsidRPr="00DD1141">
        <w:rPr>
          <w:b/>
        </w:rPr>
        <w:t>B</w:t>
      </w:r>
      <w:r w:rsidR="008952D3" w:rsidRPr="00DD1141">
        <w:t xml:space="preserve">) Control intestine. B’) Intestine of treated embryos showed the presence of pigment in the intestinal loops (arrows) with tight adhesion to the walls (B’’, </w:t>
      </w:r>
      <w:r w:rsidR="008952D3" w:rsidRPr="00DD1141">
        <w:lastRenderedPageBreak/>
        <w:t xml:space="preserve">arrow). </w:t>
      </w:r>
      <w:r w:rsidRPr="00DD1141">
        <w:t>(</w:t>
      </w:r>
      <w:r w:rsidR="008952D3" w:rsidRPr="00DD1141">
        <w:rPr>
          <w:b/>
        </w:rPr>
        <w:t>C</w:t>
      </w:r>
      <w:r w:rsidR="008952D3" w:rsidRPr="00DD1141">
        <w:t>) Gills of treated embryos were not invaded by pigment (asterisk).  Magnification: B, B’, C: 5x ; A, A’: 20x; B’’: 40x.</w:t>
      </w:r>
    </w:p>
    <w:p w14:paraId="459DD94F" w14:textId="4165A5DA" w:rsidR="008952D3" w:rsidRPr="00DD1141" w:rsidRDefault="00C465C2" w:rsidP="00C465C2">
      <w:pPr>
        <w:pStyle w:val="MDPI22heading2"/>
        <w:spacing w:before="240"/>
        <w:rPr>
          <w:lang w:val="en-GB"/>
        </w:rPr>
      </w:pPr>
      <w:r w:rsidRPr="00DD1141">
        <w:rPr>
          <w:lang w:val="en-GB"/>
        </w:rPr>
        <w:t xml:space="preserve">3.4. </w:t>
      </w:r>
      <w:r w:rsidR="008952D3" w:rsidRPr="00DD1141">
        <w:rPr>
          <w:lang w:val="en-GB"/>
        </w:rPr>
        <w:t xml:space="preserve">PR170 </w:t>
      </w:r>
      <w:r w:rsidR="00EB7F4C" w:rsidRPr="00DD1141">
        <w:rPr>
          <w:lang w:val="en-GB"/>
        </w:rPr>
        <w:t xml:space="preserve">Causes Inflammation </w:t>
      </w:r>
      <w:r w:rsidR="008952D3" w:rsidRPr="00DD1141">
        <w:rPr>
          <w:lang w:val="en-GB"/>
        </w:rPr>
        <w:t xml:space="preserve">and </w:t>
      </w:r>
      <w:r w:rsidR="00EB7F4C" w:rsidRPr="00DD1141">
        <w:rPr>
          <w:lang w:val="en-GB"/>
        </w:rPr>
        <w:t xml:space="preserve">Modifies </w:t>
      </w:r>
      <w:r w:rsidR="008952D3" w:rsidRPr="00DD1141">
        <w:rPr>
          <w:lang w:val="en-GB"/>
        </w:rPr>
        <w:t xml:space="preserve">the </w:t>
      </w:r>
      <w:r w:rsidR="00EB7F4C" w:rsidRPr="00DD1141">
        <w:rPr>
          <w:lang w:val="en-GB"/>
        </w:rPr>
        <w:t xml:space="preserve">Expression </w:t>
      </w:r>
      <w:r w:rsidR="008952D3" w:rsidRPr="00DD1141">
        <w:rPr>
          <w:lang w:val="en-GB"/>
        </w:rPr>
        <w:t xml:space="preserve">of </w:t>
      </w:r>
      <w:r w:rsidR="00EB7F4C" w:rsidRPr="00DD1141">
        <w:rPr>
          <w:lang w:val="en-GB"/>
        </w:rPr>
        <w:t xml:space="preserve">Genes Involved </w:t>
      </w:r>
      <w:r w:rsidR="008952D3" w:rsidRPr="00DD1141">
        <w:rPr>
          <w:lang w:val="en-GB"/>
        </w:rPr>
        <w:t xml:space="preserve">in </w:t>
      </w:r>
      <w:r w:rsidR="00EB7F4C" w:rsidRPr="00DD1141">
        <w:rPr>
          <w:lang w:val="en-GB"/>
        </w:rPr>
        <w:t xml:space="preserve">Early Embryonic Development </w:t>
      </w:r>
      <w:r w:rsidR="008952D3" w:rsidRPr="00DD1141">
        <w:rPr>
          <w:lang w:val="en-GB"/>
        </w:rPr>
        <w:t xml:space="preserve">of X. </w:t>
      </w:r>
      <w:r w:rsidR="00EB7F4C" w:rsidRPr="00DD1141">
        <w:rPr>
          <w:lang w:val="en-GB"/>
        </w:rPr>
        <w:t>Laevis</w:t>
      </w:r>
    </w:p>
    <w:p w14:paraId="53A67E92" w14:textId="77777777" w:rsidR="008952D3" w:rsidRPr="00DD1141" w:rsidRDefault="008952D3" w:rsidP="00C465C2">
      <w:pPr>
        <w:pStyle w:val="MDPI31text"/>
      </w:pPr>
      <w:r w:rsidRPr="00DD1141">
        <w:t xml:space="preserve">We explored the possible alterations of gene expression caused by PR170 in </w:t>
      </w:r>
      <w:r w:rsidRPr="00DD1141">
        <w:rPr>
          <w:i/>
          <w:iCs/>
        </w:rPr>
        <w:t>X. laevis</w:t>
      </w:r>
      <w:r w:rsidRPr="00DD1141">
        <w:t>. Real Time-PCR, conducted on five-</w:t>
      </w:r>
      <w:r w:rsidRPr="00DD1141">
        <w:rPr>
          <w:bCs/>
        </w:rPr>
        <w:t>day-</w:t>
      </w:r>
      <w:r w:rsidRPr="00DD1141">
        <w:t xml:space="preserve">old embryos, showed </w:t>
      </w:r>
      <w:r w:rsidRPr="00DD1141">
        <w:rPr>
          <w:bCs/>
        </w:rPr>
        <w:t xml:space="preserve">a general modification of </w:t>
      </w:r>
      <w:r w:rsidRPr="00DD1141">
        <w:t>the expression of genes involved in the early development and inflammation in treated embryos (Fig. 6A).</w:t>
      </w:r>
    </w:p>
    <w:p w14:paraId="35527CD5" w14:textId="77777777" w:rsidR="008952D3" w:rsidRPr="00DD1141" w:rsidRDefault="008952D3" w:rsidP="00C465C2">
      <w:pPr>
        <w:pStyle w:val="MDPI31text"/>
      </w:pPr>
      <w:r w:rsidRPr="00DD1141">
        <w:t xml:space="preserve">We verify the expression of genes involved in early development as </w:t>
      </w:r>
      <w:r w:rsidRPr="00DD1141">
        <w:rPr>
          <w:i/>
        </w:rPr>
        <w:t>bmp4</w:t>
      </w:r>
      <w:r w:rsidRPr="00DD1141">
        <w:t xml:space="preserve"> and </w:t>
      </w:r>
      <w:r w:rsidRPr="00DD1141">
        <w:rPr>
          <w:i/>
        </w:rPr>
        <w:t>fgf8</w:t>
      </w:r>
      <w:r w:rsidRPr="00DD1141">
        <w:t xml:space="preserve"> that contribute to the formation of embryonic axes, </w:t>
      </w:r>
      <w:r w:rsidRPr="00DD1141">
        <w:rPr>
          <w:i/>
        </w:rPr>
        <w:t>sox9</w:t>
      </w:r>
      <w:r w:rsidRPr="00DD1141">
        <w:t xml:space="preserve"> and </w:t>
      </w:r>
      <w:r w:rsidRPr="00DD1141">
        <w:rPr>
          <w:i/>
        </w:rPr>
        <w:t>egr2</w:t>
      </w:r>
      <w:r w:rsidRPr="00DD1141">
        <w:t xml:space="preserve"> that specify the neural crests and theirs movement, </w:t>
      </w:r>
      <w:r w:rsidRPr="00DD1141">
        <w:rPr>
          <w:i/>
        </w:rPr>
        <w:t>pax6</w:t>
      </w:r>
      <w:r w:rsidRPr="00DD1141">
        <w:t xml:space="preserve"> and </w:t>
      </w:r>
      <w:r w:rsidRPr="00DD1141">
        <w:rPr>
          <w:i/>
        </w:rPr>
        <w:t>rax1</w:t>
      </w:r>
      <w:r w:rsidRPr="00DD1141">
        <w:t xml:space="preserve"> involved in encephalon and eyes morphogenesis.</w:t>
      </w:r>
    </w:p>
    <w:p w14:paraId="388BD065" w14:textId="77777777" w:rsidR="008952D3" w:rsidRPr="00DD1141" w:rsidRDefault="008952D3" w:rsidP="00C465C2">
      <w:pPr>
        <w:pStyle w:val="MDPI31text"/>
      </w:pPr>
      <w:r w:rsidRPr="00DD1141">
        <w:rPr>
          <w:bCs/>
          <w:lang w:val="en-GB"/>
        </w:rPr>
        <w:t xml:space="preserve">At 10 mg/L </w:t>
      </w:r>
      <w:r w:rsidRPr="00DD1141">
        <w:t xml:space="preserve">of PR170 </w:t>
      </w:r>
      <w:r w:rsidRPr="00DD1141">
        <w:rPr>
          <w:i/>
        </w:rPr>
        <w:t xml:space="preserve">bmp4 </w:t>
      </w:r>
      <w:r w:rsidRPr="00DD1141">
        <w:t xml:space="preserve">(p&lt;0.01) was overexpressed, </w:t>
      </w:r>
      <w:r w:rsidRPr="00DD1141">
        <w:rPr>
          <w:i/>
        </w:rPr>
        <w:t>fgf8</w:t>
      </w:r>
      <w:r w:rsidRPr="00DD1141">
        <w:t xml:space="preserve"> and </w:t>
      </w:r>
      <w:r w:rsidRPr="00DD1141">
        <w:rPr>
          <w:i/>
        </w:rPr>
        <w:t xml:space="preserve">egr2 </w:t>
      </w:r>
      <w:r w:rsidRPr="00DD1141">
        <w:t xml:space="preserve">were slightly overexpressed while </w:t>
      </w:r>
      <w:r w:rsidRPr="00DD1141">
        <w:rPr>
          <w:i/>
        </w:rPr>
        <w:t xml:space="preserve">sox9 </w:t>
      </w:r>
      <w:r w:rsidRPr="00DD1141">
        <w:t xml:space="preserve">(p&lt;0.001), </w:t>
      </w:r>
      <w:r w:rsidRPr="00DD1141">
        <w:rPr>
          <w:i/>
        </w:rPr>
        <w:t>pax6</w:t>
      </w:r>
      <w:r w:rsidRPr="00DD1141">
        <w:t xml:space="preserve"> (p&lt;0.0001) and </w:t>
      </w:r>
      <w:r w:rsidRPr="00DD1141">
        <w:rPr>
          <w:i/>
        </w:rPr>
        <w:t>rax</w:t>
      </w:r>
      <w:r w:rsidRPr="00DD1141">
        <w:t xml:space="preserve">1were downregulated. We observed a downregulation of all studied genes at 20 </w:t>
      </w:r>
      <w:r w:rsidRPr="00DD1141">
        <w:rPr>
          <w:bCs/>
          <w:lang w:val="en-GB"/>
        </w:rPr>
        <w:t xml:space="preserve">mg/L </w:t>
      </w:r>
      <w:r w:rsidRPr="00DD1141">
        <w:t xml:space="preserve">of PR170 </w:t>
      </w:r>
      <w:r w:rsidRPr="00DD1141">
        <w:rPr>
          <w:bCs/>
          <w:lang w:val="en-GB"/>
        </w:rPr>
        <w:t>(p&lt;0.0001).</w:t>
      </w:r>
      <w:r w:rsidRPr="00DD1141">
        <w:t xml:space="preserve">At </w:t>
      </w:r>
      <w:r w:rsidRPr="00DD1141">
        <w:rPr>
          <w:bCs/>
          <w:lang w:val="en-GB"/>
        </w:rPr>
        <w:t xml:space="preserve">40 mg/L of PR170,excluding </w:t>
      </w:r>
      <w:r w:rsidRPr="00DD1141">
        <w:rPr>
          <w:i/>
        </w:rPr>
        <w:t>bmp4</w:t>
      </w:r>
      <w:r w:rsidRPr="00DD1141">
        <w:t xml:space="preserve"> expression that was comparable to the control (p</w:t>
      </w:r>
      <w:r w:rsidRPr="00DD1141">
        <w:rPr>
          <w:rFonts w:ascii="Times New Roman" w:hAnsi="Times New Roman"/>
        </w:rPr>
        <w:t>˃</w:t>
      </w:r>
      <w:r w:rsidRPr="00DD1141">
        <w:t xml:space="preserve">0.05), all genes </w:t>
      </w:r>
      <w:r w:rsidRPr="00DD1141">
        <w:rPr>
          <w:bCs/>
          <w:lang w:val="en-GB"/>
        </w:rPr>
        <w:t xml:space="preserve">were downregulated; </w:t>
      </w:r>
      <w:r w:rsidRPr="00DD1141">
        <w:rPr>
          <w:bCs/>
          <w:i/>
          <w:lang w:val="en-GB"/>
        </w:rPr>
        <w:t>fgf8</w:t>
      </w:r>
      <w:r w:rsidRPr="00DD1141">
        <w:rPr>
          <w:bCs/>
          <w:lang w:val="en-GB"/>
        </w:rPr>
        <w:t xml:space="preserve"> and </w:t>
      </w:r>
      <w:r w:rsidRPr="00DD1141">
        <w:rPr>
          <w:bCs/>
          <w:i/>
          <w:lang w:val="en-GB"/>
        </w:rPr>
        <w:t>egr2</w:t>
      </w:r>
      <w:r w:rsidRPr="00DD1141">
        <w:rPr>
          <w:bCs/>
          <w:lang w:val="en-GB"/>
        </w:rPr>
        <w:t xml:space="preserve"> with p</w:t>
      </w:r>
      <w:r w:rsidRPr="00DD1141">
        <w:t>&lt;</w:t>
      </w:r>
      <w:r w:rsidRPr="00DD1141">
        <w:rPr>
          <w:bCs/>
          <w:lang w:val="en-GB"/>
        </w:rPr>
        <w:t>0.01;</w:t>
      </w:r>
      <w:r w:rsidRPr="00DD1141">
        <w:rPr>
          <w:bCs/>
          <w:i/>
          <w:lang w:val="en-GB"/>
        </w:rPr>
        <w:t>sox9</w:t>
      </w:r>
      <w:r w:rsidRPr="00DD1141">
        <w:rPr>
          <w:bCs/>
          <w:lang w:val="en-GB"/>
        </w:rPr>
        <w:t xml:space="preserve">, </w:t>
      </w:r>
      <w:r w:rsidRPr="00DD1141">
        <w:rPr>
          <w:bCs/>
          <w:i/>
          <w:lang w:val="en-GB"/>
        </w:rPr>
        <w:t>pax6</w:t>
      </w:r>
      <w:r w:rsidRPr="00DD1141">
        <w:rPr>
          <w:bCs/>
          <w:lang w:val="en-GB"/>
        </w:rPr>
        <w:t xml:space="preserve">and </w:t>
      </w:r>
      <w:r w:rsidRPr="00DD1141">
        <w:rPr>
          <w:bCs/>
          <w:i/>
          <w:lang w:val="en-GB"/>
        </w:rPr>
        <w:t>rax1</w:t>
      </w:r>
      <w:r w:rsidRPr="00DD1141">
        <w:rPr>
          <w:bCs/>
          <w:lang w:val="en-GB"/>
        </w:rPr>
        <w:t xml:space="preserve"> with p</w:t>
      </w:r>
      <w:r w:rsidRPr="00DD1141">
        <w:t>&lt;</w:t>
      </w:r>
      <w:r w:rsidRPr="00DD1141">
        <w:rPr>
          <w:bCs/>
          <w:lang w:val="en-GB"/>
        </w:rPr>
        <w:t xml:space="preserve">0.0001. Therefore PR170, at all concentration, interferes with expression of these genes that are very important during early development of </w:t>
      </w:r>
      <w:r w:rsidRPr="00DD1141">
        <w:rPr>
          <w:bCs/>
          <w:i/>
          <w:lang w:val="en-GB"/>
        </w:rPr>
        <w:t>Xenopus</w:t>
      </w:r>
      <w:r w:rsidRPr="00DD1141">
        <w:rPr>
          <w:bCs/>
          <w:lang w:val="en-GB"/>
        </w:rPr>
        <w:t>.</w:t>
      </w:r>
    </w:p>
    <w:p w14:paraId="66C68470" w14:textId="77777777" w:rsidR="008952D3" w:rsidRPr="00DD1141" w:rsidRDefault="008952D3" w:rsidP="00C465C2">
      <w:pPr>
        <w:pStyle w:val="MDPI31text"/>
        <w:rPr>
          <w:lang w:val="en-GB"/>
        </w:rPr>
      </w:pPr>
      <w:r w:rsidRPr="00DD1141">
        <w:rPr>
          <w:lang w:val="en-GB"/>
        </w:rPr>
        <w:t xml:space="preserve">To verify the inflammation status of embryos after PR170 treatment we analyzed the expression of </w:t>
      </w:r>
      <w:r w:rsidRPr="00DD1141">
        <w:rPr>
          <w:i/>
          <w:lang w:val="en-GB"/>
        </w:rPr>
        <w:t>tnfα</w:t>
      </w:r>
      <w:r w:rsidRPr="00DD1141">
        <w:rPr>
          <w:lang w:val="en-GB"/>
        </w:rPr>
        <w:t xml:space="preserve"> and </w:t>
      </w:r>
      <w:r w:rsidRPr="00DD1141">
        <w:rPr>
          <w:i/>
          <w:lang w:val="en-GB"/>
        </w:rPr>
        <w:t xml:space="preserve">il1b </w:t>
      </w:r>
      <w:r w:rsidRPr="00DD1141">
        <w:rPr>
          <w:lang w:val="en-GB"/>
        </w:rPr>
        <w:t xml:space="preserve">the cytokines involved in the activation of NF-kappa-B transcription factor and </w:t>
      </w:r>
      <w:r w:rsidRPr="00DD1141">
        <w:rPr>
          <w:i/>
          <w:lang w:val="en-GB"/>
        </w:rPr>
        <w:t xml:space="preserve">p65 </w:t>
      </w:r>
      <w:r w:rsidRPr="00DD1141">
        <w:rPr>
          <w:shd w:val="clear" w:color="auto" w:fill="FFFFFF"/>
        </w:rPr>
        <w:t xml:space="preserve">involved in </w:t>
      </w:r>
      <w:hyperlink r:id="rId13" w:tooltip="NF-κB" w:history="1">
        <w:r w:rsidRPr="00DD1141">
          <w:rPr>
            <w:shd w:val="clear" w:color="auto" w:fill="FFFFFF"/>
          </w:rPr>
          <w:t>NF-κB</w:t>
        </w:r>
      </w:hyperlink>
      <w:r w:rsidRPr="00DD1141">
        <w:rPr>
          <w:shd w:val="clear" w:color="auto" w:fill="FFFFFF"/>
        </w:rPr>
        <w:t xml:space="preserve"> heterodimer formation, nuclear translocation and activation</w:t>
      </w:r>
      <w:r w:rsidRPr="00DD1141">
        <w:rPr>
          <w:lang w:val="en-GB"/>
        </w:rPr>
        <w:t xml:space="preserve">. (Fig. 6B). We observed that </w:t>
      </w:r>
      <w:r w:rsidRPr="00DD1141">
        <w:rPr>
          <w:i/>
          <w:lang w:val="en-GB"/>
        </w:rPr>
        <w:t>tnfα</w:t>
      </w:r>
      <w:r w:rsidRPr="00DD1141">
        <w:rPr>
          <w:lang w:val="en-GB"/>
        </w:rPr>
        <w:t xml:space="preserve"> was downexpressed at 10 (p&lt;0.001) and 20 (p&lt;0.01) mg/L </w:t>
      </w:r>
      <w:r w:rsidRPr="00DD1141">
        <w:t>of PR170</w:t>
      </w:r>
      <w:r w:rsidRPr="00DD1141">
        <w:rPr>
          <w:lang w:val="en-GB"/>
        </w:rPr>
        <w:t xml:space="preserve"> while </w:t>
      </w:r>
      <w:r w:rsidRPr="00DD1141">
        <w:rPr>
          <w:i/>
          <w:lang w:val="en-GB"/>
        </w:rPr>
        <w:t xml:space="preserve">il1b </w:t>
      </w:r>
      <w:r w:rsidRPr="00DD1141">
        <w:rPr>
          <w:lang w:val="en-GB"/>
        </w:rPr>
        <w:t xml:space="preserve">was high overexpressed at 20 and 40 mg/L (p&lt;0.0001) and slightly downexpressed at 10 mg/L; </w:t>
      </w:r>
      <w:r w:rsidRPr="00DD1141">
        <w:rPr>
          <w:i/>
          <w:lang w:val="en-GB"/>
        </w:rPr>
        <w:t>p65</w:t>
      </w:r>
      <w:r w:rsidRPr="00DD1141">
        <w:rPr>
          <w:lang w:val="en-GB"/>
        </w:rPr>
        <w:t xml:space="preserve"> was always downexpressed in particular at 20 and 40 mg/L (p&lt;0.001) </w:t>
      </w:r>
      <w:r w:rsidRPr="00DD1141">
        <w:t>of PR170</w:t>
      </w:r>
      <w:r w:rsidRPr="00DD1141">
        <w:rPr>
          <w:lang w:val="en-GB"/>
        </w:rPr>
        <w:t>. The modifications of the expression of these genes indicate that PR170 induce always inflammation in treated embryos.</w:t>
      </w:r>
    </w:p>
    <w:p w14:paraId="193C9F77" w14:textId="35B71C65" w:rsidR="008952D3" w:rsidRPr="00DD1141" w:rsidRDefault="00C465C2" w:rsidP="00C465C2">
      <w:pPr>
        <w:pStyle w:val="MDPI22heading2"/>
        <w:spacing w:before="240"/>
        <w:rPr>
          <w:lang w:val="en-GB"/>
        </w:rPr>
      </w:pPr>
      <w:r w:rsidRPr="00DD1141">
        <w:rPr>
          <w:lang w:val="en-GB"/>
        </w:rPr>
        <w:t xml:space="preserve">3.6. </w:t>
      </w:r>
      <w:r w:rsidR="008952D3" w:rsidRPr="00DD1141">
        <w:rPr>
          <w:lang w:val="en-GB"/>
        </w:rPr>
        <w:t xml:space="preserve">PR170 </w:t>
      </w:r>
      <w:r w:rsidR="00EB7F4C" w:rsidRPr="00DD1141">
        <w:rPr>
          <w:lang w:val="en-GB"/>
        </w:rPr>
        <w:t xml:space="preserve">Modify </w:t>
      </w:r>
      <w:r w:rsidR="008952D3" w:rsidRPr="00DD1141">
        <w:rPr>
          <w:lang w:val="en-GB"/>
        </w:rPr>
        <w:t xml:space="preserve">the </w:t>
      </w:r>
      <w:r w:rsidR="00EB7F4C" w:rsidRPr="00DD1141">
        <w:rPr>
          <w:lang w:val="en-GB"/>
        </w:rPr>
        <w:t xml:space="preserve">Activity </w:t>
      </w:r>
      <w:r w:rsidR="008952D3" w:rsidRPr="00DD1141">
        <w:rPr>
          <w:lang w:val="en-GB"/>
        </w:rPr>
        <w:t xml:space="preserve">of ATP-binding </w:t>
      </w:r>
      <w:r w:rsidR="00EB7F4C" w:rsidRPr="00DD1141">
        <w:rPr>
          <w:lang w:val="en-GB"/>
        </w:rPr>
        <w:t xml:space="preserve">Cassette </w:t>
      </w:r>
      <w:r w:rsidR="008952D3" w:rsidRPr="00DD1141">
        <w:rPr>
          <w:lang w:val="en-GB"/>
        </w:rPr>
        <w:t xml:space="preserve">in Daphnia </w:t>
      </w:r>
      <w:r w:rsidR="00EB7F4C" w:rsidRPr="00DD1141">
        <w:rPr>
          <w:lang w:val="en-GB"/>
        </w:rPr>
        <w:t xml:space="preserve">Magna </w:t>
      </w:r>
      <w:r w:rsidR="008952D3" w:rsidRPr="00DD1141">
        <w:rPr>
          <w:lang w:val="en-GB"/>
        </w:rPr>
        <w:t xml:space="preserve">and Xenopus </w:t>
      </w:r>
      <w:r w:rsidR="00EB7F4C" w:rsidRPr="00DD1141">
        <w:rPr>
          <w:lang w:val="en-GB"/>
        </w:rPr>
        <w:t>Laevis</w:t>
      </w:r>
    </w:p>
    <w:p w14:paraId="45BE645C" w14:textId="77777777" w:rsidR="008952D3" w:rsidRPr="00DD1141" w:rsidRDefault="008952D3" w:rsidP="00EB7F4C">
      <w:pPr>
        <w:pStyle w:val="MDPI31text"/>
        <w:rPr>
          <w:lang w:val="en-GB"/>
        </w:rPr>
      </w:pPr>
      <w:r w:rsidRPr="00DD1141">
        <w:rPr>
          <w:lang w:val="en-GB"/>
        </w:rPr>
        <w:t xml:space="preserve">In </w:t>
      </w:r>
      <w:r w:rsidRPr="00DD1141">
        <w:rPr>
          <w:i/>
          <w:lang w:val="en-GB"/>
        </w:rPr>
        <w:t>Daphnia magna</w:t>
      </w:r>
      <w:r w:rsidRPr="00DD1141">
        <w:rPr>
          <w:lang w:val="en-GB"/>
        </w:rPr>
        <w:t xml:space="preserve"> we analyse the expression of </w:t>
      </w:r>
      <w:r w:rsidRPr="00DD1141">
        <w:rPr>
          <w:i/>
          <w:lang w:val="en-GB"/>
        </w:rPr>
        <w:t>abcb1</w:t>
      </w:r>
      <w:r w:rsidRPr="00DD1141">
        <w:rPr>
          <w:lang w:val="en-GB"/>
        </w:rPr>
        <w:t xml:space="preserve"> (ATP binding cassette subfamily B member 1) and </w:t>
      </w:r>
      <w:r w:rsidRPr="00DD1141">
        <w:rPr>
          <w:i/>
          <w:lang w:val="en-GB"/>
        </w:rPr>
        <w:t>abcc1/3</w:t>
      </w:r>
      <w:r w:rsidRPr="00DD1141">
        <w:rPr>
          <w:lang w:val="en-GB"/>
        </w:rPr>
        <w:t xml:space="preserve">, </w:t>
      </w:r>
      <w:r w:rsidRPr="00DD1141">
        <w:rPr>
          <w:i/>
          <w:lang w:val="en-GB"/>
        </w:rPr>
        <w:t>abcc4</w:t>
      </w:r>
      <w:r w:rsidRPr="00DD1141">
        <w:rPr>
          <w:lang w:val="en-GB"/>
        </w:rPr>
        <w:t xml:space="preserve"> and </w:t>
      </w:r>
      <w:r w:rsidRPr="00DD1141">
        <w:rPr>
          <w:i/>
          <w:lang w:val="en-GB"/>
        </w:rPr>
        <w:t>Abcc5</w:t>
      </w:r>
      <w:r w:rsidRPr="00DD1141">
        <w:rPr>
          <w:lang w:val="en-GB"/>
        </w:rPr>
        <w:t xml:space="preserve"> (ATP binding cassette subfamily C) genes according to Campos et al. (2014).Our data showed that, in treated </w:t>
      </w:r>
      <w:r w:rsidRPr="00DD1141">
        <w:rPr>
          <w:i/>
          <w:lang w:val="en-GB"/>
        </w:rPr>
        <w:t>Daphnia</w:t>
      </w:r>
      <w:r w:rsidRPr="00DD1141">
        <w:rPr>
          <w:lang w:val="en-GB"/>
        </w:rPr>
        <w:t>,</w:t>
      </w:r>
      <w:r w:rsidRPr="00DD1141">
        <w:rPr>
          <w:i/>
          <w:lang w:val="en-GB"/>
        </w:rPr>
        <w:t>abcc1/3</w:t>
      </w:r>
      <w:r w:rsidRPr="00DD1141">
        <w:rPr>
          <w:lang w:val="en-GB"/>
        </w:rPr>
        <w:t xml:space="preserve"> was slightly overexpressed at </w:t>
      </w:r>
      <w:r w:rsidRPr="00DD1141">
        <w:rPr>
          <w:bCs/>
          <w:lang w:val="en-GB"/>
        </w:rPr>
        <w:t xml:space="preserve">10 mg/L </w:t>
      </w:r>
      <w:r w:rsidRPr="00DD1141">
        <w:rPr>
          <w:lang w:val="en-GB"/>
        </w:rPr>
        <w:t xml:space="preserve">and </w:t>
      </w:r>
      <w:r w:rsidRPr="00DD1141">
        <w:rPr>
          <w:i/>
          <w:lang w:val="en-GB"/>
        </w:rPr>
        <w:t>Abcc4</w:t>
      </w:r>
      <w:r w:rsidRPr="00DD1141">
        <w:rPr>
          <w:lang w:val="en-GB"/>
        </w:rPr>
        <w:t xml:space="preserve"> was always high overexpressed. In contrast </w:t>
      </w:r>
      <w:r w:rsidRPr="00DD1141">
        <w:rPr>
          <w:i/>
          <w:lang w:val="en-GB"/>
        </w:rPr>
        <w:t>abcb1</w:t>
      </w:r>
      <w:r w:rsidRPr="00DD1141">
        <w:rPr>
          <w:lang w:val="en-GB"/>
        </w:rPr>
        <w:t xml:space="preserve"> and </w:t>
      </w:r>
      <w:r w:rsidRPr="00DD1141">
        <w:rPr>
          <w:i/>
          <w:lang w:val="en-GB"/>
        </w:rPr>
        <w:t xml:space="preserve">Abcc5 </w:t>
      </w:r>
      <w:r w:rsidRPr="00DD1141">
        <w:rPr>
          <w:lang w:val="en-GB"/>
        </w:rPr>
        <w:t>were always downexpressed, in particular at 20 mg/L (Fig. 6C).</w:t>
      </w:r>
      <w:r w:rsidRPr="00DD1141">
        <w:t>These patterns point out that exposure treatments affect significantly (P &lt; 0.05) the transcription of the studied genes only at lower concentrations.</w:t>
      </w:r>
    </w:p>
    <w:p w14:paraId="341CE5E1" w14:textId="77777777" w:rsidR="008952D3" w:rsidRPr="00DD1141" w:rsidRDefault="008952D3" w:rsidP="00EB7F4C">
      <w:pPr>
        <w:pStyle w:val="MDPI31text"/>
        <w:rPr>
          <w:lang w:val="en-GB"/>
        </w:rPr>
      </w:pPr>
      <w:r w:rsidRPr="00DD1141">
        <w:rPr>
          <w:lang w:val="en-GB"/>
        </w:rPr>
        <w:t xml:space="preserve">Moreover, in </w:t>
      </w:r>
      <w:r w:rsidRPr="00DD1141">
        <w:rPr>
          <w:i/>
          <w:lang w:val="en-GB"/>
        </w:rPr>
        <w:t>X. laevis</w:t>
      </w:r>
      <w:r w:rsidRPr="00DD1141">
        <w:rPr>
          <w:lang w:val="en-GB"/>
        </w:rPr>
        <w:t xml:space="preserve">, we analysed the expression of the </w:t>
      </w:r>
      <w:r w:rsidRPr="00DD1141">
        <w:rPr>
          <w:i/>
          <w:lang w:val="en-GB"/>
        </w:rPr>
        <w:t>Abcb1</w:t>
      </w:r>
      <w:r w:rsidRPr="00DD1141">
        <w:rPr>
          <w:lang w:val="en-GB"/>
        </w:rPr>
        <w:t xml:space="preserve">(Fig.6B),a member of </w:t>
      </w:r>
      <w:r w:rsidRPr="00DD1141">
        <w:rPr>
          <w:shd w:val="clear" w:color="auto" w:fill="FFFFFF"/>
          <w:lang w:val="en-GB"/>
        </w:rPr>
        <w:t>the MDR/TAP subfamily (</w:t>
      </w:r>
      <w:r w:rsidRPr="00DD1141">
        <w:rPr>
          <w:lang w:val="en-GB"/>
        </w:rPr>
        <w:t>superfamily of ATP-binding cassette</w:t>
      </w:r>
      <w:r w:rsidRPr="00DD1141">
        <w:rPr>
          <w:shd w:val="clear" w:color="auto" w:fill="FFFFFF"/>
          <w:lang w:val="en-GB"/>
        </w:rPr>
        <w:t xml:space="preserve"> transporters) involved in multidrug resistance [provided by RefSeq, Feb 2017].We showed that </w:t>
      </w:r>
      <w:r w:rsidRPr="00DD1141">
        <w:rPr>
          <w:i/>
          <w:lang w:val="en-GB"/>
        </w:rPr>
        <w:t>abcb1</w:t>
      </w:r>
      <w:r w:rsidRPr="00DD1141">
        <w:rPr>
          <w:lang w:val="en-GB"/>
        </w:rPr>
        <w:t xml:space="preserve"> was expressed less and less as the concentration increased (p&lt;0.05). This trend indicates that PR170 interferes with activity of ATP-binding cassette by inhibiting it.</w:t>
      </w:r>
    </w:p>
    <w:p w14:paraId="53ABB504" w14:textId="77777777" w:rsidR="008952D3" w:rsidRPr="00DD1141" w:rsidRDefault="008952D3" w:rsidP="00F4226A">
      <w:pPr>
        <w:pStyle w:val="MDPI52figure"/>
        <w:ind w:left="2608"/>
        <w:jc w:val="left"/>
        <w:rPr>
          <w:lang w:val="en-GB"/>
        </w:rPr>
      </w:pPr>
      <w:r w:rsidRPr="00DD1141">
        <w:rPr>
          <w:noProof/>
          <w:lang w:val="it-IT" w:eastAsia="it-IT" w:bidi="ar-SA"/>
        </w:rPr>
        <w:lastRenderedPageBreak/>
        <w:drawing>
          <wp:inline distT="0" distB="0" distL="0" distR="0" wp14:anchorId="72CD4BFC" wp14:editId="48E8F320">
            <wp:extent cx="3112770" cy="6078220"/>
            <wp:effectExtent l="0" t="0" r="0" b="0"/>
            <wp:docPr id="24" name="Immagine 6" descr="C:\Users\toshiba\Desktop\Tattoo finale\Fig. 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descr="C:\Users\toshiba\Desktop\Tattoo finale\Fig. 6.t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12770" cy="6078220"/>
                    </a:xfrm>
                    <a:prstGeom prst="rect">
                      <a:avLst/>
                    </a:prstGeom>
                    <a:noFill/>
                    <a:ln>
                      <a:noFill/>
                    </a:ln>
                  </pic:spPr>
                </pic:pic>
              </a:graphicData>
            </a:graphic>
          </wp:inline>
        </w:drawing>
      </w:r>
    </w:p>
    <w:p w14:paraId="7D4C30D8" w14:textId="345BDE76" w:rsidR="008952D3" w:rsidRPr="00DD1141" w:rsidRDefault="00F4226A" w:rsidP="00F4226A">
      <w:pPr>
        <w:pStyle w:val="MDPI51figurecaption"/>
        <w:jc w:val="both"/>
      </w:pPr>
      <w:r w:rsidRPr="00DD1141">
        <w:rPr>
          <w:b/>
          <w:bCs/>
        </w:rPr>
        <w:t xml:space="preserve">Figure 6. </w:t>
      </w:r>
      <w:r w:rsidR="008952D3" w:rsidRPr="00DD1141">
        <w:rPr>
          <w:bCs/>
        </w:rPr>
        <w:t xml:space="preserve">Gene expression in </w:t>
      </w:r>
      <w:r w:rsidR="008952D3" w:rsidRPr="00DD1141">
        <w:rPr>
          <w:bCs/>
          <w:i/>
          <w:lang w:val="en-GB"/>
        </w:rPr>
        <w:t>X. laevis</w:t>
      </w:r>
      <w:r w:rsidR="008952D3" w:rsidRPr="00DD1141">
        <w:rPr>
          <w:bCs/>
          <w:lang w:val="en-GB"/>
        </w:rPr>
        <w:t xml:space="preserve"> and </w:t>
      </w:r>
      <w:r w:rsidR="008952D3" w:rsidRPr="00DD1141">
        <w:rPr>
          <w:bCs/>
          <w:i/>
          <w:lang w:val="en-GB"/>
        </w:rPr>
        <w:t>D. magna</w:t>
      </w:r>
      <w:r w:rsidR="008952D3" w:rsidRPr="00DD1141">
        <w:t>. Expression of genes involved in early embryonic development (</w:t>
      </w:r>
      <w:r w:rsidR="008952D3" w:rsidRPr="00DD1141">
        <w:rPr>
          <w:b/>
        </w:rPr>
        <w:t>A</w:t>
      </w:r>
      <w:r w:rsidR="008952D3" w:rsidRPr="00DD1141">
        <w:t>) and inflammation (</w:t>
      </w:r>
      <w:r w:rsidR="008952D3" w:rsidRPr="00DD1141">
        <w:rPr>
          <w:b/>
        </w:rPr>
        <w:t>B</w:t>
      </w:r>
      <w:r w:rsidR="008952D3" w:rsidRPr="00DD1141">
        <w:t xml:space="preserve">) of </w:t>
      </w:r>
      <w:r w:rsidR="008952D3" w:rsidRPr="00DD1141">
        <w:rPr>
          <w:i/>
          <w:iCs/>
        </w:rPr>
        <w:t>Xenopus laevis</w:t>
      </w:r>
      <w:r w:rsidR="008952D3" w:rsidRPr="00DD1141">
        <w:t xml:space="preserve">. ATP binding cassette mechanism expression was showed in </w:t>
      </w:r>
      <w:r w:rsidR="008952D3" w:rsidRPr="00DD1141">
        <w:rPr>
          <w:i/>
          <w:iCs/>
        </w:rPr>
        <w:t xml:space="preserve">Daphnia magna </w:t>
      </w:r>
      <w:r w:rsidR="008952D3" w:rsidRPr="00DD1141">
        <w:t>(</w:t>
      </w:r>
      <w:r w:rsidR="008952D3" w:rsidRPr="00DD1141">
        <w:rPr>
          <w:b/>
        </w:rPr>
        <w:t>C</w:t>
      </w:r>
      <w:r w:rsidR="008952D3" w:rsidRPr="00DD1141">
        <w:t xml:space="preserve">) and </w:t>
      </w:r>
      <w:r w:rsidR="008952D3" w:rsidRPr="00DD1141">
        <w:rPr>
          <w:i/>
        </w:rPr>
        <w:t>Xenopus laevis</w:t>
      </w:r>
      <w:r w:rsidR="008952D3" w:rsidRPr="00DD1141">
        <w:t xml:space="preserve"> (</w:t>
      </w:r>
      <w:r w:rsidR="008952D3" w:rsidRPr="00DD1141">
        <w:rPr>
          <w:b/>
        </w:rPr>
        <w:t>B</w:t>
      </w:r>
      <w:r w:rsidR="008952D3" w:rsidRPr="00DD1141">
        <w:t>). Data are presented as mean with SD. Statistical significance was determined using t-tests Hold Siddak correction for multiple comparison. *P&lt;0.05, **P&lt;0.01, ***P&lt;0.001, ****P&lt;0.0001.</w:t>
      </w:r>
    </w:p>
    <w:p w14:paraId="2392F3CB" w14:textId="2B00943E" w:rsidR="008952D3" w:rsidRPr="00DD1141" w:rsidRDefault="008952D3" w:rsidP="001C53D3">
      <w:pPr>
        <w:pStyle w:val="MDPI22heading2"/>
        <w:spacing w:before="240"/>
      </w:pPr>
      <w:r w:rsidRPr="00DD1141">
        <w:t>3.7</w:t>
      </w:r>
      <w:r w:rsidR="001C53D3" w:rsidRPr="00DD1141">
        <w:t xml:space="preserve">. </w:t>
      </w:r>
      <w:r w:rsidRPr="00DD1141">
        <w:t xml:space="preserve">PR170 </w:t>
      </w:r>
      <w:r w:rsidR="001C53D3" w:rsidRPr="00DD1141">
        <w:t>Induces Oxidative Stress</w:t>
      </w:r>
      <w:r w:rsidRPr="00DD1141">
        <w:tab/>
      </w:r>
    </w:p>
    <w:p w14:paraId="579F6FD0" w14:textId="77777777" w:rsidR="008952D3" w:rsidRPr="00DD1141" w:rsidRDefault="008952D3" w:rsidP="000A64AB">
      <w:pPr>
        <w:pStyle w:val="MDPI31text"/>
        <w:rPr>
          <w:lang w:val="en-GB"/>
        </w:rPr>
      </w:pPr>
      <w:r w:rsidRPr="00DD1141">
        <w:rPr>
          <w:lang w:val="en-GB"/>
        </w:rPr>
        <w:t>The increase of ROS and the sensitivity in enzymatic activity varied due to the function of each enzyme and depended on the test species, despite the use of the same chemicals.</w:t>
      </w:r>
    </w:p>
    <w:p w14:paraId="1A9159D4" w14:textId="77777777" w:rsidR="008952D3" w:rsidRPr="00DD1141" w:rsidRDefault="008952D3" w:rsidP="000A64AB">
      <w:pPr>
        <w:pStyle w:val="MDPI31text"/>
        <w:rPr>
          <w:lang w:val="en-GB"/>
        </w:rPr>
      </w:pPr>
      <w:r w:rsidRPr="00DD1141">
        <w:rPr>
          <w:lang w:val="en-GB"/>
        </w:rPr>
        <w:t xml:space="preserve">Fig.7A shows ROS accumulation for </w:t>
      </w:r>
      <w:r w:rsidRPr="00DD1141">
        <w:rPr>
          <w:i/>
          <w:iCs/>
          <w:lang w:val="en-GB"/>
        </w:rPr>
        <w:t>D. magna</w:t>
      </w:r>
      <w:r w:rsidRPr="00DD1141">
        <w:rPr>
          <w:lang w:val="en-GB"/>
        </w:rPr>
        <w:t>; as can be observed animals exposed to</w:t>
      </w:r>
    </w:p>
    <w:p w14:paraId="552FD6A2" w14:textId="77777777" w:rsidR="008952D3" w:rsidRPr="00DD1141" w:rsidRDefault="008952D3" w:rsidP="000A64AB">
      <w:pPr>
        <w:pStyle w:val="MDPI31text"/>
        <w:rPr>
          <w:lang w:val="en-GB"/>
        </w:rPr>
      </w:pPr>
      <w:r w:rsidRPr="00DD1141">
        <w:rPr>
          <w:lang w:val="en-GB"/>
        </w:rPr>
        <w:t xml:space="preserve">20 mg/L and 10 mg/L of PR170 show a significant increase of about 40 and 30% respectively compared to controls after 30 min. Regarding the antioxidant enzymes, the CAT activity (Fig.7B) presented a significant decrease with respect to controls at concentration of 20 mg/L, while a better antioxidant activity was shown at concentration of 10 </w:t>
      </w:r>
      <w:r w:rsidRPr="00DD1141">
        <w:rPr>
          <w:lang w:val="en-GB"/>
        </w:rPr>
        <w:lastRenderedPageBreak/>
        <w:t>mg/L. On the other hand, SOD activity (Fig.7C) increased significantly with respect to controls at both effective concentrations.</w:t>
      </w:r>
    </w:p>
    <w:p w14:paraId="2749DCAB" w14:textId="77777777" w:rsidR="008952D3" w:rsidRPr="00DD1141" w:rsidRDefault="008952D3" w:rsidP="000A64AB">
      <w:pPr>
        <w:pStyle w:val="MDPI31text"/>
        <w:rPr>
          <w:lang w:val="en-GB"/>
        </w:rPr>
      </w:pPr>
      <w:r w:rsidRPr="00DD1141">
        <w:rPr>
          <w:lang w:val="en-GB"/>
        </w:rPr>
        <w:t xml:space="preserve">In </w:t>
      </w:r>
      <w:r w:rsidRPr="00DD1141">
        <w:rPr>
          <w:i/>
          <w:lang w:val="en-GB"/>
        </w:rPr>
        <w:t>X. laevis</w:t>
      </w:r>
      <w:r w:rsidRPr="00DD1141">
        <w:rPr>
          <w:lang w:val="en-GB"/>
        </w:rPr>
        <w:t xml:space="preserve"> the percentage increases of ROS were 84, 81 and 65% compared to the control, corresponding to 40, 20 and 10 mg/L respectively (Fig.7A). The CAT-activity incremented as concentrations of PR170 increased (Fig.7B); while the SOD-activity increased from 10 to 20 mg/L as compared to the control and decreased at 40 mg/L. (Fig.7C).</w:t>
      </w:r>
    </w:p>
    <w:p w14:paraId="57A36177" w14:textId="77777777" w:rsidR="008952D3" w:rsidRPr="00DD1141" w:rsidRDefault="008952D3" w:rsidP="000A64AB">
      <w:pPr>
        <w:pStyle w:val="MDPI52figure"/>
        <w:rPr>
          <w:lang w:val="en-GB"/>
        </w:rPr>
      </w:pPr>
      <w:r w:rsidRPr="00DD1141">
        <w:rPr>
          <w:noProof/>
          <w:lang w:val="it-IT" w:eastAsia="it-IT" w:bidi="ar-SA"/>
        </w:rPr>
        <w:drawing>
          <wp:inline distT="0" distB="0" distL="0" distR="0" wp14:anchorId="2BC3FC80" wp14:editId="18BA873B">
            <wp:extent cx="6119495" cy="1453515"/>
            <wp:effectExtent l="0" t="0" r="0" b="0"/>
            <wp:docPr id="23" name="Immagine 7" descr="C:\Users\toshiba\Desktop\Tattoo finale\Fig. 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7" descr="C:\Users\toshiba\Desktop\Tattoo finale\Fig. 7.t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19495" cy="1453515"/>
                    </a:xfrm>
                    <a:prstGeom prst="rect">
                      <a:avLst/>
                    </a:prstGeom>
                    <a:noFill/>
                    <a:ln>
                      <a:noFill/>
                    </a:ln>
                  </pic:spPr>
                </pic:pic>
              </a:graphicData>
            </a:graphic>
          </wp:inline>
        </w:drawing>
      </w:r>
    </w:p>
    <w:p w14:paraId="7FE59D3C" w14:textId="56E5DF3A" w:rsidR="008952D3" w:rsidRPr="00DD1141" w:rsidRDefault="000A64AB" w:rsidP="000A64AB">
      <w:pPr>
        <w:pStyle w:val="MDPI51figurecaption"/>
        <w:ind w:left="425" w:right="425"/>
        <w:jc w:val="both"/>
        <w:rPr>
          <w:lang w:val="en-GB"/>
        </w:rPr>
      </w:pPr>
      <w:r w:rsidRPr="00DD1141">
        <w:rPr>
          <w:b/>
          <w:lang w:val="en-GB"/>
        </w:rPr>
        <w:t xml:space="preserve">Figure 7. </w:t>
      </w:r>
      <w:r w:rsidR="008952D3" w:rsidRPr="00DD1141">
        <w:rPr>
          <w:lang w:val="en-GB"/>
        </w:rPr>
        <w:t xml:space="preserve">Oxidative stress in </w:t>
      </w:r>
      <w:r w:rsidR="008952D3" w:rsidRPr="00DD1141">
        <w:rPr>
          <w:i/>
          <w:lang w:val="en-GB"/>
        </w:rPr>
        <w:t>X. laevis</w:t>
      </w:r>
      <w:r w:rsidR="008952D3" w:rsidRPr="00DD1141">
        <w:rPr>
          <w:lang w:val="en-GB"/>
        </w:rPr>
        <w:t xml:space="preserve"> and </w:t>
      </w:r>
      <w:r w:rsidR="008952D3" w:rsidRPr="00DD1141">
        <w:rPr>
          <w:i/>
          <w:lang w:val="en-GB"/>
        </w:rPr>
        <w:t>D. magna</w:t>
      </w:r>
      <w:r w:rsidR="008952D3" w:rsidRPr="00DD1141">
        <w:rPr>
          <w:lang w:val="en-GB"/>
        </w:rPr>
        <w:t>. Effects of Pr170 on (</w:t>
      </w:r>
      <w:r w:rsidR="008952D3" w:rsidRPr="00DD1141">
        <w:rPr>
          <w:b/>
          <w:lang w:val="en-GB"/>
        </w:rPr>
        <w:t>A</w:t>
      </w:r>
      <w:r w:rsidR="008952D3" w:rsidRPr="00DD1141">
        <w:rPr>
          <w:lang w:val="en-GB"/>
        </w:rPr>
        <w:t>) ROS production expressed as Fluorescence intensity, (</w:t>
      </w:r>
      <w:r w:rsidR="008952D3" w:rsidRPr="00DD1141">
        <w:rPr>
          <w:b/>
          <w:lang w:val="en-GB"/>
        </w:rPr>
        <w:t>B</w:t>
      </w:r>
      <w:r w:rsidR="008952D3" w:rsidRPr="00DD1141">
        <w:rPr>
          <w:lang w:val="en-GB"/>
        </w:rPr>
        <w:t>) CAT activity and (</w:t>
      </w:r>
      <w:r w:rsidR="008952D3" w:rsidRPr="00DD1141">
        <w:rPr>
          <w:b/>
          <w:lang w:val="en-GB"/>
        </w:rPr>
        <w:t>C</w:t>
      </w:r>
      <w:r w:rsidR="008952D3" w:rsidRPr="00DD1141">
        <w:rPr>
          <w:lang w:val="en-GB"/>
        </w:rPr>
        <w:t>) SOD activity. The level of significance was set at p</w:t>
      </w:r>
      <w:r w:rsidR="008952D3" w:rsidRPr="00DD1141">
        <w:rPr>
          <w:rFonts w:ascii="Times New Roman" w:hAnsi="Times New Roman"/>
          <w:lang w:val="en-GB"/>
        </w:rPr>
        <w:t> </w:t>
      </w:r>
      <w:r w:rsidR="008952D3" w:rsidRPr="00DD1141">
        <w:rPr>
          <w:lang w:val="en-GB"/>
        </w:rPr>
        <w:t>&lt;</w:t>
      </w:r>
      <w:r w:rsidR="008952D3" w:rsidRPr="00DD1141">
        <w:rPr>
          <w:rFonts w:ascii="Times New Roman" w:hAnsi="Times New Roman"/>
          <w:lang w:val="en-GB"/>
        </w:rPr>
        <w:t> </w:t>
      </w:r>
      <w:r w:rsidR="008952D3" w:rsidRPr="00DD1141">
        <w:rPr>
          <w:lang w:val="en-GB"/>
        </w:rPr>
        <w:t>0.05.</w:t>
      </w:r>
    </w:p>
    <w:p w14:paraId="49BE536F" w14:textId="3280A901" w:rsidR="008952D3" w:rsidRPr="00DD1141" w:rsidRDefault="004D4006" w:rsidP="004D4006">
      <w:pPr>
        <w:pStyle w:val="MDPI21heading1"/>
      </w:pPr>
      <w:r w:rsidRPr="00DD1141">
        <w:t xml:space="preserve">4. </w:t>
      </w:r>
      <w:r w:rsidR="008952D3" w:rsidRPr="00DD1141">
        <w:t>Discussion</w:t>
      </w:r>
    </w:p>
    <w:p w14:paraId="2593B3E0" w14:textId="77777777" w:rsidR="008952D3" w:rsidRPr="00DD1141" w:rsidRDefault="008952D3" w:rsidP="004D4006">
      <w:pPr>
        <w:pStyle w:val="MDPI31text"/>
      </w:pPr>
      <w:r w:rsidRPr="00DD1141">
        <w:rPr>
          <w:lang w:val="en-GB"/>
        </w:rPr>
        <w:t xml:space="preserve">The modern tattoo inks mainly contain organic pigments, metals, unspecified additives and contaminants of various types [Laux et al., 2016; Arlet al., 2019; Baumler, 2020] mixed in various way. </w:t>
      </w:r>
      <w:r w:rsidRPr="00DD1141">
        <w:t xml:space="preserve">Use of model organisms to study their possible toxic effects is certainly of great help. </w:t>
      </w:r>
    </w:p>
    <w:p w14:paraId="2E685717" w14:textId="77777777" w:rsidR="008952D3" w:rsidRPr="00DD1141" w:rsidRDefault="008952D3" w:rsidP="004D4006">
      <w:pPr>
        <w:pStyle w:val="MDPI31text"/>
        <w:rPr>
          <w:lang w:val="en-GB"/>
        </w:rPr>
      </w:pPr>
      <w:r w:rsidRPr="00DD1141">
        <w:t>Our study was inserted in this context, in fact we have studied</w:t>
      </w:r>
      <w:r w:rsidRPr="00DD1141">
        <w:rPr>
          <w:lang w:val="en-GB"/>
        </w:rPr>
        <w:t xml:space="preserve">the toxic potential of a commercial red ink tattoo on two models, </w:t>
      </w:r>
      <w:r w:rsidRPr="00DD1141">
        <w:rPr>
          <w:i/>
          <w:iCs/>
          <w:lang w:val="en-GB"/>
        </w:rPr>
        <w:t xml:space="preserve">X. laevis </w:t>
      </w:r>
      <w:r w:rsidRPr="00DD1141">
        <w:rPr>
          <w:iCs/>
          <w:lang w:val="en-GB"/>
        </w:rPr>
        <w:t>and</w:t>
      </w:r>
      <w:r w:rsidRPr="00DD1141">
        <w:rPr>
          <w:i/>
          <w:iCs/>
          <w:lang w:val="en-GB"/>
        </w:rPr>
        <w:t xml:space="preserve"> D. magna</w:t>
      </w:r>
      <w:r w:rsidRPr="00DD1141">
        <w:rPr>
          <w:iCs/>
          <w:lang w:val="en-GB"/>
        </w:rPr>
        <w:t>, using different approaches</w:t>
      </w:r>
      <w:r w:rsidRPr="00DD1141">
        <w:rPr>
          <w:lang w:val="en-GB"/>
        </w:rPr>
        <w:t>. TEM data showed that it was made of nanoparticles (110 nm on average), according to Hogsberget al. [2011], are polygonal shaped and aggregate in part; Arl et al. [2019] showed the presence of nanoparticles and aggregates in some tattoo inks.</w:t>
      </w:r>
    </w:p>
    <w:p w14:paraId="73E1E877" w14:textId="77777777" w:rsidR="008952D3" w:rsidRPr="00DD1141" w:rsidRDefault="008952D3" w:rsidP="004D4006">
      <w:pPr>
        <w:pStyle w:val="MDPI31text"/>
        <w:rPr>
          <w:lang w:val="en-GB"/>
        </w:rPr>
      </w:pPr>
      <w:r w:rsidRPr="00DD1141">
        <w:rPr>
          <w:lang w:val="en-GB"/>
        </w:rPr>
        <w:t xml:space="preserve">Then we analysed the uptake of these particles and we have shown that PR170 is strongly absorbed by </w:t>
      </w:r>
      <w:r w:rsidRPr="00DD1141">
        <w:rPr>
          <w:i/>
          <w:lang w:val="en-GB"/>
        </w:rPr>
        <w:t xml:space="preserve">Xenopus </w:t>
      </w:r>
      <w:r w:rsidRPr="00DD1141">
        <w:rPr>
          <w:lang w:val="en-GB"/>
        </w:rPr>
        <w:t xml:space="preserve">while in </w:t>
      </w:r>
      <w:r w:rsidRPr="00DD1141">
        <w:rPr>
          <w:i/>
          <w:lang w:val="en-GB"/>
        </w:rPr>
        <w:t>Daphnia</w:t>
      </w:r>
      <w:r w:rsidRPr="00DD1141">
        <w:rPr>
          <w:lang w:val="en-GB"/>
        </w:rPr>
        <w:t xml:space="preserve"> the absorption percentage is much lower, we must consider that while the assumption of PR170 in amphibians can certainly occur through ingestion and the respiratory system but also through the skin, on the contrary crustaceans have a chitinous coating that probably partially blocks their entry. However, our images show a large presence of pigment in the intestine in both cases; Arl et al. (2019) showed the presence of the ink in gut and adherent to exoskeleton of </w:t>
      </w:r>
      <w:r w:rsidRPr="00DD1141">
        <w:rPr>
          <w:i/>
          <w:lang w:val="en-GB"/>
        </w:rPr>
        <w:t>D. magna</w:t>
      </w:r>
      <w:r w:rsidRPr="00DD1141">
        <w:rPr>
          <w:lang w:val="en-GB"/>
        </w:rPr>
        <w:t>.</w:t>
      </w:r>
    </w:p>
    <w:p w14:paraId="3CA018A3" w14:textId="77777777" w:rsidR="008952D3" w:rsidRPr="00DD1141" w:rsidRDefault="008952D3" w:rsidP="004D4006">
      <w:pPr>
        <w:pStyle w:val="MDPI31text"/>
        <w:rPr>
          <w:rFonts w:eastAsia="PalatinoLinotype"/>
        </w:rPr>
      </w:pPr>
      <w:r w:rsidRPr="00DD1141">
        <w:rPr>
          <w:lang w:val="en-GB"/>
        </w:rPr>
        <w:t xml:space="preserve">FETAX assay shows that PR170 causes a high level of death of treated </w:t>
      </w:r>
      <w:r w:rsidRPr="00DD1141">
        <w:rPr>
          <w:i/>
          <w:lang w:val="en-GB"/>
        </w:rPr>
        <w:t>Xenopus</w:t>
      </w:r>
      <w:r w:rsidRPr="00DD1141">
        <w:rPr>
          <w:lang w:val="en-GB"/>
        </w:rPr>
        <w:t xml:space="preserve"> embryos only at a concentration of </w:t>
      </w:r>
      <w:r w:rsidRPr="00DD1141">
        <w:rPr>
          <w:bCs/>
        </w:rPr>
        <w:t xml:space="preserve">20 </w:t>
      </w:r>
      <w:r w:rsidRPr="00DD1141">
        <w:t>mg/L</w:t>
      </w:r>
      <w:r w:rsidRPr="00DD1141">
        <w:rPr>
          <w:lang w:val="en-GB"/>
        </w:rPr>
        <w:t xml:space="preserve">, </w:t>
      </w:r>
      <w:r w:rsidRPr="00DD1141">
        <w:t xml:space="preserve">we think that, probably, 10mg/L concentration is insufficient to cause death and that at </w:t>
      </w:r>
      <w:r w:rsidRPr="00DD1141">
        <w:rPr>
          <w:lang w:val="en-GB"/>
        </w:rPr>
        <w:t xml:space="preserve">40 </w:t>
      </w:r>
      <w:r w:rsidRPr="00DD1141">
        <w:t xml:space="preserve">mg/L the particles partially precipitate and then fail to reach the concentration in the solution that causes death. PR170 does not modify the growth of embryos but induces, in a small percentage, very serious malformations of the surviving embryos. Observed malformations concern mainly very extensive edema that compromised the internal organs as the heart, that was tachycardic. We also observed problems in the pigment distribution, in the eyes that appear deformed or of different size, in digestive system that, in some cases, extruded from the body, and tails. The observed malformations we induced to verify the expression of a panel of genes involved in early development </w:t>
      </w:r>
      <w:r w:rsidRPr="00DD1141">
        <w:rPr>
          <w:bCs/>
          <w:lang w:val="en-GB"/>
        </w:rPr>
        <w:t xml:space="preserve">and we have found that, in treated embryos, the expression of these genes is modified, in particular at </w:t>
      </w:r>
      <w:r w:rsidRPr="00DD1141">
        <w:rPr>
          <w:bCs/>
        </w:rPr>
        <w:t xml:space="preserve">20 </w:t>
      </w:r>
      <w:r w:rsidRPr="00DD1141">
        <w:t>mg/L</w:t>
      </w:r>
      <w:r w:rsidRPr="00DD1141">
        <w:rPr>
          <w:bCs/>
          <w:lang w:val="en-GB"/>
        </w:rPr>
        <w:t xml:space="preserve">. In fact, at 20mg/L, the concentration showing the highest percentage of malformations, all genes were downregulated. We must consider that </w:t>
      </w:r>
      <w:r w:rsidRPr="00DD1141">
        <w:rPr>
          <w:bCs/>
          <w:i/>
          <w:lang w:val="en-GB"/>
        </w:rPr>
        <w:t>bmp4</w:t>
      </w:r>
      <w:r w:rsidRPr="00DD1141">
        <w:rPr>
          <w:bCs/>
          <w:lang w:val="en-GB"/>
        </w:rPr>
        <w:t xml:space="preserve"> and </w:t>
      </w:r>
      <w:r w:rsidRPr="00DD1141">
        <w:rPr>
          <w:bCs/>
          <w:i/>
          <w:lang w:val="en-GB"/>
        </w:rPr>
        <w:t>fgf8</w:t>
      </w:r>
      <w:r w:rsidRPr="00DD1141">
        <w:rPr>
          <w:bCs/>
          <w:lang w:val="en-GB"/>
        </w:rPr>
        <w:t xml:space="preserve"> are involved in axes formation </w:t>
      </w:r>
      <w:r w:rsidRPr="00DD1141">
        <w:t xml:space="preserve">[Hong et al., 2008; Heasman, 2006; </w:t>
      </w:r>
      <w:r w:rsidRPr="00DD1141">
        <w:rPr>
          <w:rFonts w:eastAsia="Calibri"/>
          <w:color w:val="212121"/>
          <w:shd w:val="clear" w:color="auto" w:fill="FFFFFF"/>
          <w:lang w:eastAsia="en-US"/>
        </w:rPr>
        <w:t>Dorey and Amaya, 2010</w:t>
      </w:r>
      <w:r w:rsidRPr="00DD1141">
        <w:t xml:space="preserve">], </w:t>
      </w:r>
      <w:r w:rsidRPr="00DD1141">
        <w:rPr>
          <w:i/>
        </w:rPr>
        <w:t>sox9</w:t>
      </w:r>
      <w:r w:rsidRPr="00DD1141">
        <w:t xml:space="preserve"> and </w:t>
      </w:r>
      <w:r w:rsidRPr="00DD1141">
        <w:rPr>
          <w:i/>
        </w:rPr>
        <w:t>egr2</w:t>
      </w:r>
      <w:r w:rsidRPr="00DD1141">
        <w:t xml:space="preserve"> are involved in the determination and positioning of the neural crests, the fourth embryonic sheet, this could be at the basis of the abnormal production of melanocytes and their distribution and cardiac problems [Lee et al., 2004; </w:t>
      </w:r>
      <w:r w:rsidRPr="00DD1141">
        <w:lastRenderedPageBreak/>
        <w:t xml:space="preserve">Gawdzik et al., 2018]. Finally </w:t>
      </w:r>
      <w:r w:rsidRPr="00DD1141">
        <w:rPr>
          <w:i/>
        </w:rPr>
        <w:t>pax6</w:t>
      </w:r>
      <w:r w:rsidRPr="00DD1141">
        <w:t xml:space="preserve"> and </w:t>
      </w:r>
      <w:r w:rsidRPr="00DD1141">
        <w:rPr>
          <w:i/>
        </w:rPr>
        <w:t>rax1</w:t>
      </w:r>
      <w:r w:rsidRPr="00DD1141">
        <w:rPr>
          <w:bCs/>
          <w:lang w:val="en-GB"/>
        </w:rPr>
        <w:t>are involved in the correct morphogenesis of the anterior encephalon and eyes [</w:t>
      </w:r>
      <w:r w:rsidRPr="00DD1141">
        <w:rPr>
          <w:color w:val="212121"/>
        </w:rPr>
        <w:t>Ohkubo et al .,2002;</w:t>
      </w:r>
      <w:r w:rsidRPr="00DD1141">
        <w:t xml:space="preserve"> Hirsch and Harris, 1997</w:t>
      </w:r>
      <w:r w:rsidRPr="00DD1141">
        <w:rPr>
          <w:bCs/>
          <w:lang w:val="en-GB"/>
        </w:rPr>
        <w:t xml:space="preserve">]. Treated </w:t>
      </w:r>
      <w:r w:rsidRPr="00DD1141">
        <w:rPr>
          <w:bCs/>
          <w:i/>
          <w:lang w:val="en-GB"/>
        </w:rPr>
        <w:t>Xenopus</w:t>
      </w:r>
      <w:r w:rsidRPr="00DD1141">
        <w:rPr>
          <w:bCs/>
          <w:lang w:val="en-GB"/>
        </w:rPr>
        <w:t xml:space="preserve"> embryos showed high production of ROS and of antioxidant enzymes SOD and CAT indicating that these embryos were subjected to strong oxidative stress that could be at the basis of the modified gene expression [Yang et al., 2009; Ramesh et al., 2013].Arl et al. [2019] showed a high production of ROS and antioxidant enzymes in </w:t>
      </w:r>
      <w:r w:rsidRPr="00DD1141">
        <w:rPr>
          <w:bCs/>
          <w:i/>
          <w:lang w:val="en-GB"/>
        </w:rPr>
        <w:t>D. magna</w:t>
      </w:r>
      <w:r w:rsidRPr="00DD1141">
        <w:rPr>
          <w:bCs/>
          <w:lang w:val="en-GB"/>
        </w:rPr>
        <w:t xml:space="preserve"> and HaCat cells treated with tattoo inks. Moreover,</w:t>
      </w:r>
      <w:r w:rsidRPr="00DD1141">
        <w:rPr>
          <w:rFonts w:eastAsia="PalatinoLinotype"/>
        </w:rPr>
        <w:t xml:space="preserve">oxidative stress is known to modulate the generation of inflammatory cytokines through activation of NF-κB (Morgan et al., 2011). Our treated </w:t>
      </w:r>
      <w:r w:rsidRPr="00DD1141">
        <w:rPr>
          <w:rFonts w:eastAsia="PalatinoLinotype"/>
          <w:i/>
        </w:rPr>
        <w:t>Xenopus</w:t>
      </w:r>
      <w:r w:rsidRPr="00DD1141">
        <w:rPr>
          <w:rFonts w:eastAsia="PalatinoLinotype"/>
        </w:rPr>
        <w:t xml:space="preserve"> embryos showed downregulation of </w:t>
      </w:r>
      <w:r w:rsidRPr="00DD1141">
        <w:rPr>
          <w:rFonts w:eastAsia="PalatinoLinotype"/>
          <w:i/>
        </w:rPr>
        <w:t xml:space="preserve">tnfα </w:t>
      </w:r>
      <w:r w:rsidRPr="00DD1141">
        <w:rPr>
          <w:rFonts w:eastAsia="PalatinoLinotype"/>
        </w:rPr>
        <w:t xml:space="preserve">and </w:t>
      </w:r>
      <w:r w:rsidRPr="00DD1141">
        <w:rPr>
          <w:rFonts w:eastAsia="PalatinoLinotype"/>
          <w:i/>
        </w:rPr>
        <w:t xml:space="preserve">p65 </w:t>
      </w:r>
      <w:r w:rsidRPr="00DD1141">
        <w:rPr>
          <w:rFonts w:eastAsia="PalatinoLinotype"/>
        </w:rPr>
        <w:t xml:space="preserve">and a high expression of </w:t>
      </w:r>
      <w:r w:rsidRPr="00DD1141">
        <w:rPr>
          <w:rFonts w:eastAsia="PalatinoLinotype"/>
          <w:i/>
        </w:rPr>
        <w:t xml:space="preserve">il1b </w:t>
      </w:r>
      <w:r w:rsidRPr="00DD1141">
        <w:rPr>
          <w:rFonts w:eastAsia="PalatinoLinotype"/>
        </w:rPr>
        <w:t xml:space="preserve">[Gupta et al., 2014]. </w:t>
      </w:r>
      <w:r w:rsidRPr="00DD1141">
        <w:t xml:space="preserve">In mice neutrophils, prolonged pharmacologic inhibition of NF-kB augments IL-1b secretion [Greten et al., 2007].Finally, we investigated whether the treated </w:t>
      </w:r>
      <w:r w:rsidRPr="00DD1141">
        <w:rPr>
          <w:i/>
        </w:rPr>
        <w:t xml:space="preserve">Xenopus </w:t>
      </w:r>
      <w:r w:rsidRPr="00DD1141">
        <w:t>embryos were able to activate a defense mechanism from xenobiotic compounds by studying the expression of</w:t>
      </w:r>
      <w:r w:rsidRPr="00DD1141">
        <w:rPr>
          <w:bCs/>
          <w:i/>
          <w:lang w:val="en-GB"/>
        </w:rPr>
        <w:t xml:space="preserve"> abcb1 </w:t>
      </w:r>
      <w:r w:rsidRPr="00DD1141">
        <w:rPr>
          <w:shd w:val="clear" w:color="auto" w:fill="FFFFFF"/>
          <w:lang w:val="en-GB"/>
        </w:rPr>
        <w:t xml:space="preserve">involved in multidrug resistance. We showed that </w:t>
      </w:r>
      <w:r w:rsidRPr="00DD1141">
        <w:rPr>
          <w:bCs/>
          <w:i/>
          <w:lang w:val="en-GB"/>
        </w:rPr>
        <w:t xml:space="preserve">abcb1 </w:t>
      </w:r>
      <w:r w:rsidRPr="00DD1141">
        <w:rPr>
          <w:bCs/>
          <w:lang w:val="en-GB"/>
        </w:rPr>
        <w:t xml:space="preserve">downregulated </w:t>
      </w:r>
      <w:r w:rsidRPr="00DD1141">
        <w:rPr>
          <w:rFonts w:eastAsia="PalatinoLinotype"/>
        </w:rPr>
        <w:t>at 20</w:t>
      </w:r>
      <w:r w:rsidRPr="00DD1141">
        <w:t>mg/L</w:t>
      </w:r>
      <w:r w:rsidRPr="00DD1141">
        <w:rPr>
          <w:rFonts w:eastAsia="PalatinoLinotype"/>
        </w:rPr>
        <w:t xml:space="preserve"> and 40</w:t>
      </w:r>
      <w:r w:rsidRPr="00DD1141">
        <w:t>mg/L</w:t>
      </w:r>
      <w:r w:rsidRPr="00DD1141">
        <w:rPr>
          <w:rFonts w:eastAsia="PalatinoLinotype"/>
        </w:rPr>
        <w:t xml:space="preserve">, these results indicate that the activity of </w:t>
      </w:r>
      <w:r w:rsidRPr="00DD1141">
        <w:rPr>
          <w:rFonts w:eastAsia="PalatinoLinotype"/>
          <w:i/>
        </w:rPr>
        <w:t>abcb1</w:t>
      </w:r>
      <w:r w:rsidRPr="00DD1141">
        <w:rPr>
          <w:rFonts w:eastAsia="PalatinoLinotype"/>
        </w:rPr>
        <w:t xml:space="preserve"> decreases as concentration increases, contributing to the inflammatory state not being able to expel toxic substances contained in the red ink.</w:t>
      </w:r>
    </w:p>
    <w:p w14:paraId="64DE0559" w14:textId="77777777" w:rsidR="008952D3" w:rsidRPr="00DD1141" w:rsidRDefault="008952D3" w:rsidP="004D4006">
      <w:pPr>
        <w:pStyle w:val="MDPI31text"/>
        <w:rPr>
          <w:color w:val="auto"/>
          <w:lang w:val="en-GB"/>
        </w:rPr>
      </w:pPr>
      <w:r w:rsidRPr="00DD1141">
        <w:rPr>
          <w:lang w:val="en-GB"/>
        </w:rPr>
        <w:t xml:space="preserve">As regards the toxicity of PR170 to </w:t>
      </w:r>
      <w:r w:rsidRPr="00DD1141">
        <w:rPr>
          <w:i/>
          <w:lang w:val="en-GB"/>
        </w:rPr>
        <w:t>D. magna</w:t>
      </w:r>
      <w:r w:rsidRPr="00DD1141">
        <w:rPr>
          <w:lang w:val="en-GB"/>
        </w:rPr>
        <w:t xml:space="preserve">, this study provides major information to evaluate the risks on aquatic ecosystems. Our results did not differ from previous study. The results from acute toxicity test had shown that PR170 was toxic already at concentrations of 10 mg/L confirmed by the uptake that was greater at the lower concentrations tested. The use of oxidative stress biomarkers has become a promising tool to evaluate the toxic effects of environmental pollutants as early indicators in ecotoxicology so we observed a disruption of the balance of biological oxidant-to-antioxidant system. The strongest oxidative stress and the antioxidant activity were induced when exposed at 10 mg/L indicating that PR170 generates oxidative stress, leads to the induction of oxidative damages on </w:t>
      </w:r>
      <w:r w:rsidRPr="00DD1141">
        <w:rPr>
          <w:i/>
          <w:lang w:val="en-GB"/>
        </w:rPr>
        <w:t>D. magna</w:t>
      </w:r>
      <w:r w:rsidRPr="00DD1141">
        <w:rPr>
          <w:lang w:val="en-GB"/>
        </w:rPr>
        <w:t xml:space="preserve"> and negatively influences biological homeostasis in the organism. The expression levels of five analyzed genes related to the cellular multixenobiotic resistance (MXR) system, that have been proposed as a first line of defense against environmental toxicants, confirm the activities inhibition leading to decreases in tolerance against this toxicant. In fact, the modification of abcb1, abcc1/3, abcc4 and Abcc5 genes expression determined after the exposure to PR170 can induce to think it could probably be a substrate of MXR transporters in </w:t>
      </w:r>
      <w:r w:rsidRPr="00DD1141">
        <w:rPr>
          <w:i/>
          <w:lang w:val="en-GB"/>
        </w:rPr>
        <w:t>D. magna</w:t>
      </w:r>
      <w:r w:rsidRPr="00DD1141">
        <w:rPr>
          <w:lang w:val="en-GB"/>
        </w:rPr>
        <w:t xml:space="preserve"> confirming the existence of a regulation system to limit excessive accumulation of toxicants.</w:t>
      </w:r>
    </w:p>
    <w:p w14:paraId="348002E5" w14:textId="77777777" w:rsidR="008952D3" w:rsidRPr="00DD1141" w:rsidRDefault="008952D3" w:rsidP="004D4006">
      <w:pPr>
        <w:pStyle w:val="MDPI31text"/>
        <w:rPr>
          <w:kern w:val="24"/>
        </w:rPr>
      </w:pPr>
      <w:r w:rsidRPr="00DD1141">
        <w:rPr>
          <w:rFonts w:eastAsia="PalatinoLinotype"/>
        </w:rPr>
        <w:t xml:space="preserve">Our results in complex indicate that PR170 initiated strong oxidative stress in both tested organisms as manifested by the high increase of ROS that were, probably, not neutralized by the antioxidant enzymes. This implies that the antioxidant defense system was inefficient in protecting the organisms against the oxidative stress triggered by PR170 leading to oxidative damages. This situation has produced the effects we have shown on the inflammatory state and the attempt to clear the toxic elements carried out by </w:t>
      </w:r>
      <w:r w:rsidRPr="00DD1141">
        <w:rPr>
          <w:rFonts w:eastAsia="PalatinoLinotype"/>
          <w:i/>
        </w:rPr>
        <w:t xml:space="preserve">Xenopus </w:t>
      </w:r>
      <w:r w:rsidRPr="00DD1141">
        <w:rPr>
          <w:rFonts w:eastAsia="PalatinoLinotype"/>
        </w:rPr>
        <w:t xml:space="preserve">and </w:t>
      </w:r>
      <w:r w:rsidRPr="00DD1141">
        <w:rPr>
          <w:rFonts w:eastAsia="PalatinoLinotype"/>
          <w:i/>
        </w:rPr>
        <w:t>Daphnia</w:t>
      </w:r>
      <w:r w:rsidRPr="00DD1141">
        <w:rPr>
          <w:rFonts w:eastAsia="PalatinoLinotype"/>
        </w:rPr>
        <w:t>, but also influenced the expression of genes involved in embryonic development leading to the production of deformed embryos, albeit in a small percentage. We think that these effects are due mainly to the size and accumulation of PR170 and to the presence of the azoic component in the tattoo ink we tested</w:t>
      </w:r>
      <w:r w:rsidRPr="00DD1141">
        <w:t>. In light of our data, we believe that further studies needed to better understand the effects produced by tattoo inks and efficient control over the compositions of tattoo inks available on the market.</w:t>
      </w:r>
    </w:p>
    <w:p w14:paraId="335A77E8" w14:textId="6460955E" w:rsidR="008952D3" w:rsidRPr="00A42A14" w:rsidRDefault="004D4006" w:rsidP="004D4006">
      <w:pPr>
        <w:pStyle w:val="MDPI62BackMatter"/>
        <w:spacing w:before="240"/>
        <w:rPr>
          <w:lang w:val="it-IT"/>
        </w:rPr>
      </w:pPr>
      <w:r w:rsidRPr="00DD1141">
        <w:rPr>
          <w:b/>
        </w:rPr>
        <w:t xml:space="preserve">Authorship Contribution Statement: </w:t>
      </w:r>
      <w:r w:rsidR="008952D3" w:rsidRPr="00DD1141">
        <w:t xml:space="preserve">Carotenuto Rosa: Project administration, Resources, Supervision, Data curation, Writing- Original draft preparation. </w:t>
      </w:r>
      <w:r w:rsidR="008952D3" w:rsidRPr="00A42A14">
        <w:rPr>
          <w:lang w:val="it-IT"/>
        </w:rPr>
        <w:t>Emilia Galdiero: Conceptualization. Supervision. Marco Guida: Supervision. Chiara Fogliano and Mariangela Rienzi: Methodology, Formalanalysis, Reviewing and Editing, Antonietta Siciliano and Maria Michela Salvatore: Methodology.Gaetano De Tommaso: Methodology</w:t>
      </w:r>
    </w:p>
    <w:p w14:paraId="476E09AF" w14:textId="77777777" w:rsidR="004D4006" w:rsidRPr="00DD1141" w:rsidRDefault="004D4006" w:rsidP="004D4006">
      <w:pPr>
        <w:pStyle w:val="MDPI62BackMatter"/>
        <w:rPr>
          <w:rFonts w:eastAsia="等线"/>
          <w:b/>
          <w:bCs/>
          <w:lang w:eastAsia="zh-CN"/>
        </w:rPr>
      </w:pPr>
      <w:r w:rsidRPr="00DD1141">
        <w:rPr>
          <w:rFonts w:eastAsia="等线"/>
          <w:b/>
          <w:bCs/>
        </w:rPr>
        <w:t xml:space="preserve">Acknowledgments: </w:t>
      </w:r>
      <w:r w:rsidRPr="00DD1141">
        <w:rPr>
          <w:rFonts w:eastAsia="等线"/>
        </w:rPr>
        <w:t>This research did not receive any specific grant from funding agencies in the public, commercial, or not-for-profit sectors.</w:t>
      </w:r>
    </w:p>
    <w:p w14:paraId="71D15D96" w14:textId="377E4D87" w:rsidR="008952D3" w:rsidRPr="00DD1141" w:rsidRDefault="004D4006" w:rsidP="004D4006">
      <w:pPr>
        <w:pStyle w:val="MDPI62BackMatter"/>
        <w:rPr>
          <w:rFonts w:eastAsia="等线"/>
          <w:b/>
          <w:bCs/>
          <w:lang w:val="en-GB"/>
        </w:rPr>
      </w:pPr>
      <w:r w:rsidRPr="00DD1141">
        <w:rPr>
          <w:b/>
        </w:rPr>
        <w:t xml:space="preserve">Conflicts of Interest: </w:t>
      </w:r>
      <w:r w:rsidR="008952D3" w:rsidRPr="00DD1141">
        <w:rPr>
          <w:rFonts w:eastAsia="等线"/>
          <w:b/>
          <w:bCs/>
          <w:lang w:val="en-GB"/>
        </w:rPr>
        <w:t xml:space="preserve">: </w:t>
      </w:r>
      <w:r w:rsidR="008952D3" w:rsidRPr="00DD1141">
        <w:rPr>
          <w:rFonts w:eastAsia="等线"/>
          <w:lang w:val="en-GB"/>
        </w:rPr>
        <w:t>All authors have no competing interests.</w:t>
      </w:r>
    </w:p>
    <w:p w14:paraId="35872030" w14:textId="219EDDCF" w:rsidR="008952D3" w:rsidRPr="00DD1141" w:rsidRDefault="008952D3" w:rsidP="00DC6FA7">
      <w:pPr>
        <w:pStyle w:val="MDPI21heading1"/>
        <w:ind w:left="0"/>
      </w:pPr>
      <w:r w:rsidRPr="00DD1141">
        <w:lastRenderedPageBreak/>
        <w:t>References</w:t>
      </w:r>
    </w:p>
    <w:p w14:paraId="1BEAB099"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Arl, M., Nogueira, D. J., SchveitzerKöerich, J., Mottim Justino, N., Schulz Vicentini, D., &amp; Gerson Matias, W. (2019). Tattoo inks: Characterization and in vivo and in vitro toxicological evaluation. Journal of hazardous materials, 364, 548–561. </w:t>
      </w:r>
    </w:p>
    <w:p w14:paraId="1585AB49"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Balasubramanian, I., Burke, J. P., &amp; Condon, E. (2013). Painful, pigmented lymphadenopathy secondary to decorative tattooing. The American journal of emergency medicine, 31(6), 1001.e1–1001.e10012. </w:t>
      </w:r>
    </w:p>
    <w:p w14:paraId="4408D0DB"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Bäumler W. (2015). Absorption, distribution, metabolism and excretion of tattoo colorants and ingredients in mouse and man: the known and the unknown. Current problems in dermatology, 48, 176–184. </w:t>
      </w:r>
    </w:p>
    <w:p w14:paraId="21414A63" w14:textId="77777777" w:rsidR="008952D3" w:rsidRPr="00A42A14" w:rsidRDefault="008952D3" w:rsidP="00DC6FA7">
      <w:pPr>
        <w:adjustRightInd w:val="0"/>
        <w:snapToGrid w:val="0"/>
        <w:spacing w:line="228" w:lineRule="auto"/>
        <w:ind w:left="425" w:hanging="425"/>
        <w:rPr>
          <w:rFonts w:cs="Segoe UI"/>
          <w:sz w:val="18"/>
          <w:shd w:val="clear" w:color="auto" w:fill="FFFFFF"/>
          <w:lang w:val="it-IT"/>
        </w:rPr>
      </w:pPr>
      <w:r w:rsidRPr="00DD1141">
        <w:rPr>
          <w:rFonts w:cs="Segoe UI"/>
          <w:sz w:val="18"/>
          <w:shd w:val="clear" w:color="auto" w:fill="FFFFFF"/>
        </w:rPr>
        <w:t xml:space="preserve">Bäumler W. (2020). Chemical hazard of tattoo colorants. </w:t>
      </w:r>
      <w:r w:rsidRPr="00A42A14">
        <w:rPr>
          <w:rFonts w:cs="Segoe UI"/>
          <w:sz w:val="18"/>
          <w:shd w:val="clear" w:color="auto" w:fill="FFFFFF"/>
          <w:lang w:val="it-IT"/>
        </w:rPr>
        <w:t xml:space="preserve">Presse medicale (Paris, France : 1983), 49(4), 104046. </w:t>
      </w:r>
    </w:p>
    <w:p w14:paraId="60CF6FDC"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A42A14">
        <w:rPr>
          <w:rFonts w:cs="Segoe UI"/>
          <w:sz w:val="18"/>
          <w:shd w:val="clear" w:color="auto" w:fill="FFFFFF"/>
          <w:lang w:val="it-IT"/>
        </w:rPr>
        <w:t xml:space="preserve">Bonfanti, P., Colombo, A., Saibene, M., Fiandra, L., Armenia, I., Gamberoni, F., Gornati, R., Bernardini, G., &amp;Mantecca, P.(2020). </w:t>
      </w:r>
      <w:r w:rsidRPr="00DD1141">
        <w:rPr>
          <w:rFonts w:cs="Segoe UI"/>
          <w:sz w:val="18"/>
          <w:shd w:val="clear" w:color="auto" w:fill="FFFFFF"/>
        </w:rPr>
        <w:t>Iron nanoparticle bio-interactions evaluated in Xenopuslaevis embryos, a model for studying the safety of ingested nanoparticles. Nanotoxicology, 14 (2):196–213</w:t>
      </w:r>
    </w:p>
    <w:p w14:paraId="11033818"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Bradford M. M. (1976). A rapid and sensitive method for the quantitation of microgram quantities of protein utilizing the principle of protein-dye binding. Analytical biochemistry, 72, 248–254. </w:t>
      </w:r>
    </w:p>
    <w:p w14:paraId="438BBD25" w14:textId="77777777" w:rsidR="008952D3" w:rsidRPr="00A42A14" w:rsidRDefault="008952D3" w:rsidP="00DC6FA7">
      <w:pPr>
        <w:adjustRightInd w:val="0"/>
        <w:snapToGrid w:val="0"/>
        <w:spacing w:line="228" w:lineRule="auto"/>
        <w:ind w:left="425" w:hanging="425"/>
        <w:rPr>
          <w:rFonts w:cs="Segoe UI"/>
          <w:sz w:val="18"/>
          <w:shd w:val="clear" w:color="auto" w:fill="FFFFFF"/>
          <w:lang w:val="it-IT"/>
        </w:rPr>
      </w:pPr>
      <w:r w:rsidRPr="00DD1141">
        <w:rPr>
          <w:rFonts w:cs="Segoe UI"/>
          <w:sz w:val="18"/>
          <w:shd w:val="clear" w:color="auto" w:fill="FFFFFF"/>
        </w:rPr>
        <w:t xml:space="preserve">Campos, B., Altenburger, R., Gómez, C., Lacorte, S., Piña, B., Barata, C., &amp; Luckenbach, T. (2014). First evidence for toxic defense based on the multixenobiotic resistance (MXR) mechanism in Daphnia magna. </w:t>
      </w:r>
      <w:r w:rsidRPr="00A42A14">
        <w:rPr>
          <w:rFonts w:cs="Segoe UI"/>
          <w:sz w:val="18"/>
          <w:shd w:val="clear" w:color="auto" w:fill="FFFFFF"/>
          <w:lang w:val="it-IT"/>
        </w:rPr>
        <w:t xml:space="preserve">Aquatictoxicology (Amsterdam, Netherlands), 148, 139–151. </w:t>
      </w:r>
    </w:p>
    <w:p w14:paraId="62E418C5"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A42A14">
        <w:rPr>
          <w:rFonts w:cs="Segoe UI"/>
          <w:sz w:val="18"/>
          <w:shd w:val="clear" w:color="auto" w:fill="FFFFFF"/>
          <w:lang w:val="it-IT"/>
        </w:rPr>
        <w:t xml:space="preserve">Carotenuto, R., Capriello, T., Cofone, R., Galdiero, G., Fogliano, C., Ferrandino, I., (2020). </w:t>
      </w:r>
      <w:r w:rsidRPr="00DD1141">
        <w:rPr>
          <w:rFonts w:cs="Segoe UI"/>
          <w:sz w:val="18"/>
          <w:shd w:val="clear" w:color="auto" w:fill="FFFFFF"/>
        </w:rPr>
        <w:t>Impact of copper in Xenopus laevis liver: Histological damages and atp7b downregulation. Ecotoxicology and environmental safety;188: 109940</w:t>
      </w:r>
    </w:p>
    <w:p w14:paraId="63971FB8"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Carotenuto, R., Tussellino, M., Mettivier, G., &amp; Russo, P. (2016). Survival fraction and phenotype alterations of Xenopus laevis embryos at 3 Gy, 150 kV X-ray irradiation. Biochemical and biophysical research communications, 480(4), 580–585.</w:t>
      </w:r>
    </w:p>
    <w:p w14:paraId="37A8D419"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Cui, Y., Spann, A. P., Couch, L. H., Gopee, N. V., Evans, F. E., Churchwell, M. I., Williams, L. D., Doerge, D. R., &amp; Howard, P. C. (2004). Photodecomposition of Pigment Yellow 74, a pigment used in tattoo inks. Photochemistry and photobiology, 80(2), 175–184. </w:t>
      </w:r>
    </w:p>
    <w:p w14:paraId="62DD9F64"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Dorey, K., &amp; Amaya, E., (2010). FGF signalling: diverse roles during early vertebrate embryogenesis. Development (Cambridge, England);137(22): 3731–3742. </w:t>
      </w:r>
    </w:p>
    <w:p w14:paraId="6B38B723"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Engel, E., Santarelli, F., Vasold, R., Maisch, T., Ulrich, H., Prantl, L., König, B., Landthaler, M., &amp;Bäumler, W. (2008). Modern tattoos cause high concentrations of hazardous pigments in skin. Contact dermatitis, 58(4), 228–233. </w:t>
      </w:r>
    </w:p>
    <w:p w14:paraId="79D6A48F"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Engel, E., Spannberger, A., Vasold, R., König, B., Landthaler, M., &amp;Bäumler, W. (2007). Photochemical cleavage of a tattoo pigment by UVB radiation or natural sunlight. Journal der DeutschenDermatologischen Gesellschaft = Journal of the German Society of Dermatology : JDDG, 5(7), 583–589. </w:t>
      </w:r>
    </w:p>
    <w:p w14:paraId="3A74030D"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A42A14">
        <w:rPr>
          <w:rFonts w:cs="Segoe UI"/>
          <w:sz w:val="18"/>
          <w:shd w:val="clear" w:color="auto" w:fill="FFFFFF"/>
          <w:lang w:val="it-IT"/>
        </w:rPr>
        <w:t xml:space="preserve">Falconi, M., Teti, G., Zago, M., Galanzi, A., Breschi, L., Pelotti, S., Ruggeri, A., Mazzotti, G., (2009). </w:t>
      </w:r>
      <w:r w:rsidRPr="00DD1141">
        <w:rPr>
          <w:rFonts w:cs="Segoe UI"/>
          <w:sz w:val="18"/>
          <w:shd w:val="clear" w:color="auto" w:fill="FFFFFF"/>
        </w:rPr>
        <w:t xml:space="preserve">Influence of a commercial tattoo ink on protein production in human fibroblasts. Archives of dermatological research. 301. 539-47. </w:t>
      </w:r>
    </w:p>
    <w:p w14:paraId="0FA5E25E" w14:textId="77777777" w:rsidR="008952D3" w:rsidRPr="00A42A14" w:rsidRDefault="008952D3" w:rsidP="00DC6FA7">
      <w:pPr>
        <w:adjustRightInd w:val="0"/>
        <w:snapToGrid w:val="0"/>
        <w:spacing w:line="228" w:lineRule="auto"/>
        <w:ind w:left="425" w:hanging="425"/>
        <w:rPr>
          <w:rFonts w:cs="Segoe UI"/>
          <w:sz w:val="18"/>
          <w:shd w:val="clear" w:color="auto" w:fill="FFFFFF"/>
          <w:lang w:val="it-IT"/>
        </w:rPr>
      </w:pPr>
      <w:r w:rsidRPr="00DD1141">
        <w:rPr>
          <w:rFonts w:cs="Segoe UI"/>
          <w:sz w:val="18"/>
          <w:shd w:val="clear" w:color="auto" w:fill="FFFFFF"/>
        </w:rPr>
        <w:t xml:space="preserve">Fort, D.J., Mathis, M., (2018). Frog Embryo Teratogenesis Assay-Xenopus (FETAX): Use in Alternative Preclinical Safety Assessment. </w:t>
      </w:r>
      <w:r w:rsidRPr="00A42A14">
        <w:rPr>
          <w:rFonts w:cs="Segoe UI"/>
          <w:sz w:val="18"/>
          <w:shd w:val="clear" w:color="auto" w:fill="FFFFFF"/>
          <w:lang w:val="it-IT"/>
        </w:rPr>
        <w:t xml:space="preserve">Cold Spring HarbProtoc; 2018 (8):10.1101. </w:t>
      </w:r>
    </w:p>
    <w:p w14:paraId="69E9DF0D"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A42A14">
        <w:rPr>
          <w:rFonts w:cs="Segoe UI"/>
          <w:sz w:val="18"/>
          <w:shd w:val="clear" w:color="auto" w:fill="FFFFFF"/>
          <w:lang w:val="it-IT"/>
        </w:rPr>
        <w:t xml:space="preserve">Galdiero, E., Siciliano, A., Maselli, V., Gesuele, R., Guida, M., Fulgione, D., Galdiero, S., Lombardi, L., Falanga, A., (2016). </w:t>
      </w:r>
      <w:r w:rsidRPr="00DD1141">
        <w:rPr>
          <w:rFonts w:cs="Segoe UI"/>
          <w:sz w:val="18"/>
          <w:shd w:val="clear" w:color="auto" w:fill="FFFFFF"/>
        </w:rPr>
        <w:t xml:space="preserve">An integrated study on antimicrobial activity and ecotoxicity of quantum dots and quantum dots coated with the antimicrobial peptide indolicidin. International journal of nanomedicine 11, 4199-4211. </w:t>
      </w:r>
    </w:p>
    <w:p w14:paraId="4C1EEAAF"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Gawdzik, J.C., Yue, M.S., Martin, N.R., Elemans, L.M.H., Lanham, K.A., Heideman, W., Rezendes, R., Baker, T.R., Taylor, M.R., Plavicki, J.S., (2018). Sox9b is required in cardiomyocytes for cardiac morphogenesis and function. Sci Rep; 8(1):13906.  </w:t>
      </w:r>
    </w:p>
    <w:p w14:paraId="591E2A2B"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Gopee, N. V., Cui, Y., Olson, G., Warbritton, A. R., Miller, B. J., Couch, L. H., Wamer, W. G., &amp; Howard, P. C. (2005). Response of mouse skin to tattooing: use of SKH-1 mice as a surrogate model for human tattooing. Toxicology and applied pharmacology, 209(2), 145–158. </w:t>
      </w:r>
    </w:p>
    <w:p w14:paraId="7544915A"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Greten, F. R., Arkan, M. C., Bollrath, J., Hsu, L. C., Goode, J., Miething, C., Göktuna, S. I., Neuenhahn, M., Fierer, J., Paxian, S., Van Rooijen, N., Xu, Y., O'Cain, T., Jaffee, B. B., Busch, D. H., Duyster, J., Schmid, R. M., Eckmann, L., &amp; Karin, M. (2007). NF-kappaB is a negative regulator of IL-1beta secretion as revealed by genetic and pharmacological inhibition of IKKbeta. Cell, 130(5), 918–931. </w:t>
      </w:r>
    </w:p>
    <w:p w14:paraId="628932D0"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Gupta, S. C., Tyagi, A. K., Deshmukh-Taskar, P., Hinojosa, M., Prasad, S., &amp; Aggarwal, B. B. (2014). Downregulation of tumor necrosis factor and other proinflammatory biomarkers by polyphenols. Archives of biochemistry and biophysics, 559, 91–99. </w:t>
      </w:r>
    </w:p>
    <w:p w14:paraId="446F3EFD"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Heasman, J., (2006). Patterning the early Xenopus embryo. Development (Cambridge, England); 133(7):1205–1217. </w:t>
      </w:r>
    </w:p>
    <w:p w14:paraId="7AD03930"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Hirsch, N., Harris, W. A., (1997). Xenopus Pax-6 and retinal development. Journal of neurobiology;32(1):45–61.</w:t>
      </w:r>
    </w:p>
    <w:p w14:paraId="212ED901"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Høgsberg, T., Jacobsen, N. R., Clausen, P. A., &amp;Serup, J. (2013). Black tattoo inks induce reactive oxygen species production correlating with aggregation of pigment nanoparticles and product brand but not with the polycyclic aromatic hydrocarbon content. Experimental dermatology, 22(7), 464–469. </w:t>
      </w:r>
    </w:p>
    <w:p w14:paraId="1D47CADD"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Høgsberg, T., Loeschner, K., Löf, D., &amp;Serup, J. (2011). Tattoo inks in general usage contain nanoparticles. The British journal of dermatology, 165(6), 1210–1218. </w:t>
      </w:r>
    </w:p>
    <w:p w14:paraId="663E4F68"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Hong, C. S., Park, B. Y., Saint-Jeannet, J. P., (2008). Fgf8a induces neural crest indirectly through the activation of Wnt8 in the paraxial mesoderm. Development (Cambridge, England); 135(23): 3903–3910. </w:t>
      </w:r>
    </w:p>
    <w:p w14:paraId="7F7941C9"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lastRenderedPageBreak/>
        <w:t xml:space="preserve">Huang, Q. G., Kong, L. R., Liu, Y. B., &amp; Wang, L. S. (1996). Relationships between molecular structure and chromosomal aberrations in in vitro human lymphocytes induced by substituted nitrobenzenes. Bulletin of environmental contamination and toxicology, 57(3), 349–353. </w:t>
      </w:r>
    </w:p>
    <w:p w14:paraId="69DDC9A2"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I.S.O. ISO Water Quality. (2012) Determination of the Inhibition of the Mobility of Daphnia Magna Straus (Cladocera, Crustacea) - Acute Toxicity Test - ISO 6341 </w:t>
      </w:r>
    </w:p>
    <w:p w14:paraId="7C8D3160"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Islam, P. S., Chang, C., Selmi, C., Generali, E., Huntley, A., Teuber, S. S., &amp; Gershwin, M. E. (2016). Medical Complications of Tattoos: A Comprehensive Review. Clinical reviews in allergy &amp; immunology, 50(2), 273–286. </w:t>
      </w:r>
    </w:p>
    <w:p w14:paraId="4FAC34CC"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Laux, P., Tralau, T., Tentschert, J., Blume, A., Al Dahouk, S., Bäumler, W., Bernstein, E., Bocca, B., Alimonti, A., Colebrook, H., de Cuyper, C., Dähne, L., Hauri, U., Howard, P. C., Janssen, P., Katz, L., Klitzman, B., Kluger, N., Krutak, L., Luch, A. (2016). A medical-toxicological view of tattooing. Lancet, 387(10016), 395-402. </w:t>
      </w:r>
    </w:p>
    <w:p w14:paraId="1C7258F1"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Lee, Y.H., Aoki, Y., Hong, C.S., Saint-Germain, N., Credidio, C., Saint-Jeannet, J.P., (2004). Early requirement of the transcriptional activator Sox9 for neural crest specification in Xenopus. Dev Biol;275(1):93-103. </w:t>
      </w:r>
    </w:p>
    <w:p w14:paraId="69CADF6E"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Lo, H. H., Brown, P. I., &amp; Rankin, G. O. (1990). Acute nephrotoxicity induced by isomeric dichloroanilines in Fischer 344 rats. Toxicology, 63(2), 215–231.</w:t>
      </w:r>
    </w:p>
    <w:p w14:paraId="26EA5C8C"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Miller, J.; Miller, J.C. 2018. Statistics and Chemometrics for Analytical Chemistry, 4th ed.; Pearson Education: Harlow, UK; ISBN 0-131-29192-0</w:t>
      </w:r>
    </w:p>
    <w:p w14:paraId="07ED3BAF"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Morgan, M. J., &amp; Liu, Z. G. (2011). Crosstalk of reactive oxygen species and NF-κB signaling. Cell research, 21(1), 103–115. </w:t>
      </w:r>
    </w:p>
    <w:p w14:paraId="33174D5D"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Mouche, I., Malésic, L., Gillardeaux, O., (2017). FETAX Assay for Evaluation of Developmental Toxicity. Methods Mol Biol; 1641:311-324. </w:t>
      </w:r>
    </w:p>
    <w:p w14:paraId="1FFFC9BF"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National Toxicology Program (1987). NTP Toxicology and Carcinogenesis Studies of 1,4-Dichlorobenzene (CAS No. 106-46-7) in F344/N Rats and B6C3F1 Mice (Gavage Studies). National Toxicology Program technical report series, 319, 1–198.</w:t>
      </w:r>
    </w:p>
    <w:p w14:paraId="32EB5983"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Nieuwkoop, P.D., and Faber, J., (1956). Normal table of Xenopus laevis (daudin): A systematical and chronologica survey of the development from the fertilized egg till the end of metamorphosis. North-Holland, Amsterdam.</w:t>
      </w:r>
    </w:p>
    <w:p w14:paraId="09D5C81E"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Ohkubo, Y., Chiang, C., &amp; Rubenstein, J. L., (2002). Coordinate regulation and synergistic actions of BMP4, SHH and FGF8 in the rostral prosencephalon regulate morphogenesis of the telencephalic and optic vesicles. Neuroscience; 111(1): 1–17. </w:t>
      </w:r>
    </w:p>
    <w:p w14:paraId="696ACBFC"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Piccinini P, Pakalin S, Contor L, Bianchi I and Senaldi C. (2016). Safety of tattoos and permanent make-up: Final report. EUR 27947. Luxembourg (Luxembourg): Publications Office of the European Union; JRC101601</w:t>
      </w:r>
    </w:p>
    <w:p w14:paraId="41207F61"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Ramesh, R., Kavitha, P., Kanipandian, N., Arun, S., Thirumurugan, R., Subramanian, P., (2013). Alteration of antioxidant enzymes and impairment of DNA in the SiO2 nanoparticles exposed zebra fish (Danio rerio). Environ Monit Assess;185(7):5873-81. </w:t>
      </w:r>
    </w:p>
    <w:p w14:paraId="16C3773F"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Schreiver, I., &amp;Luch, A. (2020). Tattooing: overriding the skin barrier and the journey into the unknown. Archives of toxicology, 94(2), 647–648. </w:t>
      </w:r>
    </w:p>
    <w:p w14:paraId="63C2588B"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Schreiver, I., Hesse, B., Seim, C., Castillo-Michel, H., Anklamm, L., Villanova, J., Dreiack, N., Lagrange, A., Penning, R., Cuyper, C.,Tucoulou, R.,Bäumler, W., Cotte, M., Luch, A. (2019). </w:t>
      </w:r>
    </w:p>
    <w:p w14:paraId="31CBB03A"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Distribution of nickel and chromium containing particles from tattoo needle wear in humans and its possible impact on allergic reactions. Particle and Fibre Toxicology. 16. 10.1186/s12989-019-0317-1.</w:t>
      </w:r>
    </w:p>
    <w:p w14:paraId="6E3471D7"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Sepehri, M., Sejersen, T., Qvortrup, K., Lerche, C. M., &amp;Serup, J. (2017). Tattoo Pigments Are Observed in the Kupffer Cells of the Liver Indicating Blood-Borne Distribution of Tattoo Ink. Dermatology (Basel, Switzerland), 233(1), 86–93. </w:t>
      </w:r>
    </w:p>
    <w:p w14:paraId="6D003DF6"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Session, A. M., Uno, Y., Kwon, T., Chapman, J. A., Toyoda, A., Takahashi, S., Fukui, A., Hikosaka, A., Suzuki, A., Kondo, M., van Heeringen, S. J., Quigley, I., Heinz, S., Ogino, H., Ochi, H., Hellsten, U., Lyons, J. B., Simakov, O., Putnam, N., Stites, J., Rokhsar, D. S., (2016). Genome evolution in the allotetraploid frog Xenopuslaevis. Nature; 538(7625):336–343.</w:t>
      </w:r>
    </w:p>
    <w:p w14:paraId="3D56061F"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Shimizu, H., Kumada, T., Nakano, S., Kiriyama, S., Sone, Y., Honda, T., Watanabe, K., Nakano, I., Fukuda, Y., &amp; Hayakawa, T. (2002). Liver dysfunction among workers handling 5-nitro-o-toluidine. Gut, 50(2), 266–270. </w:t>
      </w:r>
    </w:p>
    <w:p w14:paraId="2835A190"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Soran, A., Kanbour-Shakir, A., Bas, O., &amp; Bonaventura, M. (2014). A tattoo pigmented node and breast cancer. Bratislavskelekarskelisty, 115(5), 311–312.</w:t>
      </w:r>
    </w:p>
    <w:p w14:paraId="2C83E409"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Takagi, C., Sakamaki, K., Morita, H., Hara, Y., Suzuki, M., Kinoshita, N., Ueno, N.,  (2013). Transgenic Xenopus laevis for live imaging in cell and developmental biology. Development, growth &amp; differentiation; 55(4): 422–433.</w:t>
      </w:r>
    </w:p>
    <w:p w14:paraId="5ACFF520" w14:textId="77777777" w:rsidR="008952D3" w:rsidRPr="00A42A14" w:rsidRDefault="008952D3" w:rsidP="00DC6FA7">
      <w:pPr>
        <w:adjustRightInd w:val="0"/>
        <w:snapToGrid w:val="0"/>
        <w:spacing w:line="228" w:lineRule="auto"/>
        <w:ind w:left="425" w:hanging="425"/>
        <w:rPr>
          <w:rFonts w:cs="Segoe UI"/>
          <w:sz w:val="18"/>
          <w:shd w:val="clear" w:color="auto" w:fill="FFFFFF"/>
          <w:lang w:val="it-IT"/>
        </w:rPr>
      </w:pPr>
      <w:r w:rsidRPr="00DD1141">
        <w:rPr>
          <w:rFonts w:cs="Segoe UI"/>
          <w:sz w:val="18"/>
          <w:shd w:val="clear" w:color="auto" w:fill="FFFFFF"/>
        </w:rPr>
        <w:t xml:space="preserve">Tandon, P., Conlon, F., Furlow, J.D., Horb, M.E., (2017). Expanding the genetic toolkit in Xenopus: Approaches and opportunities for human disease modeling. </w:t>
      </w:r>
      <w:r w:rsidRPr="00A42A14">
        <w:rPr>
          <w:rFonts w:cs="Segoe UI"/>
          <w:sz w:val="18"/>
          <w:shd w:val="clear" w:color="auto" w:fill="FFFFFF"/>
          <w:lang w:val="it-IT"/>
        </w:rPr>
        <w:t>Dev Biol; 426(2):325-335.</w:t>
      </w:r>
    </w:p>
    <w:p w14:paraId="76FBADE1" w14:textId="77777777" w:rsidR="008952D3" w:rsidRPr="00A42A14" w:rsidRDefault="008952D3" w:rsidP="00DC6FA7">
      <w:pPr>
        <w:adjustRightInd w:val="0"/>
        <w:snapToGrid w:val="0"/>
        <w:spacing w:line="228" w:lineRule="auto"/>
        <w:ind w:left="425" w:hanging="425"/>
        <w:rPr>
          <w:rFonts w:cs="Segoe UI"/>
          <w:sz w:val="18"/>
          <w:shd w:val="clear" w:color="auto" w:fill="FFFFFF"/>
          <w:lang w:val="it-IT"/>
        </w:rPr>
      </w:pPr>
      <w:r w:rsidRPr="00A42A14">
        <w:rPr>
          <w:rFonts w:cs="Segoe UI"/>
          <w:sz w:val="18"/>
          <w:shd w:val="clear" w:color="auto" w:fill="FFFFFF"/>
          <w:lang w:val="it-IT"/>
        </w:rPr>
        <w:t xml:space="preserve">Tussellino, M., Ronca, R., Carotenuto, R., Pallotta, M.M., Furia, M., Capriglione, T., (2016). </w:t>
      </w:r>
      <w:r w:rsidRPr="00DD1141">
        <w:rPr>
          <w:rFonts w:cs="Segoe UI"/>
          <w:sz w:val="18"/>
          <w:shd w:val="clear" w:color="auto" w:fill="FFFFFF"/>
        </w:rPr>
        <w:t xml:space="preserve">Chlorpyrifos exposure affects fgf8, sox9, and bmp4 expression required for cranial neural crest morphogenesis and chondrogenesis in Xenopuslaevis embryos. </w:t>
      </w:r>
      <w:r w:rsidRPr="00A42A14">
        <w:rPr>
          <w:rFonts w:cs="Segoe UI"/>
          <w:sz w:val="18"/>
          <w:shd w:val="clear" w:color="auto" w:fill="FFFFFF"/>
          <w:lang w:val="it-IT"/>
        </w:rPr>
        <w:t>Environ. Mol. Mutagen; 57: 630-640.</w:t>
      </w:r>
    </w:p>
    <w:p w14:paraId="304A881A"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A42A14">
        <w:rPr>
          <w:rFonts w:cs="Segoe UI"/>
          <w:sz w:val="18"/>
          <w:shd w:val="clear" w:color="auto" w:fill="FFFFFF"/>
          <w:lang w:val="it-IT"/>
        </w:rPr>
        <w:t xml:space="preserve">Tussellino, M., Ronca, R., Formiggini, F., De Marco, N., Fusco, S., Netti, P.A., Carotenuto, R., (2015) . </w:t>
      </w:r>
      <w:r w:rsidRPr="00DD1141">
        <w:rPr>
          <w:rFonts w:cs="Segoe UI"/>
          <w:sz w:val="18"/>
          <w:shd w:val="clear" w:color="auto" w:fill="FFFFFF"/>
        </w:rPr>
        <w:t>Polystyrene nanoparticles affect Xenopuslaevis development. J Nanopart Res; 17(2):1-17.</w:t>
      </w:r>
    </w:p>
    <w:p w14:paraId="36540E8F"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Vasold, R., Naarmann, N., Ulrich, H., Fischer, D., König, B., Landthaler, M., &amp;Bäumler, W. (2004). </w:t>
      </w:r>
    </w:p>
    <w:p w14:paraId="51BF57DE" w14:textId="77777777" w:rsidR="008952D3" w:rsidRPr="00DD1141"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 xml:space="preserve">Tattoo pigments are cleaved by laser light-the chemical analysis in vitro provide evidence for hazardous compounds. Photochemistry and photobiology, 80(2), 185–190. </w:t>
      </w:r>
    </w:p>
    <w:p w14:paraId="349ACA46" w14:textId="77777777" w:rsidR="008952D3" w:rsidRPr="00DC6FA7" w:rsidRDefault="008952D3" w:rsidP="00DC6FA7">
      <w:pPr>
        <w:adjustRightInd w:val="0"/>
        <w:snapToGrid w:val="0"/>
        <w:spacing w:line="228" w:lineRule="auto"/>
        <w:ind w:left="425" w:hanging="425"/>
        <w:rPr>
          <w:rFonts w:cs="Segoe UI"/>
          <w:sz w:val="18"/>
          <w:shd w:val="clear" w:color="auto" w:fill="FFFFFF"/>
        </w:rPr>
      </w:pPr>
      <w:r w:rsidRPr="00DD1141">
        <w:rPr>
          <w:rFonts w:cs="Segoe UI"/>
          <w:sz w:val="18"/>
          <w:shd w:val="clear" w:color="auto" w:fill="FFFFFF"/>
        </w:rPr>
        <w:t>Yang, H., Liu, C., Yang, D., Zhang, H. and Xi, Z. (2009). Comparative study of cytotoxicity, oxidative stress and genotoxicity induced by four typical nanomaterials: the role of particle size, shape and composition. J. Appl. Toxicol; 29: 69-78.</w:t>
      </w:r>
    </w:p>
    <w:sectPr w:rsidR="008952D3" w:rsidRPr="00DC6FA7" w:rsidSect="00DD3C71">
      <w:headerReference w:type="even" r:id="rId16"/>
      <w:headerReference w:type="default" r:id="rId17"/>
      <w:footerReference w:type="default" r:id="rId18"/>
      <w:headerReference w:type="first" r:id="rId19"/>
      <w:footerReference w:type="first" r:id="rId20"/>
      <w:type w:val="continuous"/>
      <w:pgSz w:w="11906" w:h="16838" w:code="9"/>
      <w:pgMar w:top="1417" w:right="720" w:bottom="1077" w:left="720" w:header="1020" w:footer="340" w:gutter="0"/>
      <w:lnNumType w:countBy="1" w:distance="255" w:restart="continuous"/>
      <w:pgNumType w:start="1"/>
      <w:cols w:space="425"/>
      <w:titlePg/>
      <w:bidi/>
      <w:docGrid w:type="lines"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EB061E" w14:textId="77777777" w:rsidR="00A23F35" w:rsidRDefault="00A23F35">
      <w:pPr>
        <w:spacing w:line="240" w:lineRule="auto"/>
      </w:pPr>
      <w:r>
        <w:separator/>
      </w:r>
    </w:p>
  </w:endnote>
  <w:endnote w:type="continuationSeparator" w:id="0">
    <w:p w14:paraId="78A5BFE5" w14:textId="77777777" w:rsidR="00A23F35" w:rsidRDefault="00A23F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00"/>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Times New Roman PS">
    <w:altName w:val="Times New Roman PS"/>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harisSIL">
    <w:altName w:val="Arial Unicode MS"/>
    <w:panose1 w:val="00000000000000000000"/>
    <w:charset w:val="80"/>
    <w:family w:val="swiss"/>
    <w:notTrueType/>
    <w:pitch w:val="default"/>
    <w:sig w:usb0="00000000" w:usb1="08070000" w:usb2="00000010" w:usb3="00000000" w:csb0="000201FF" w:csb1="00000000"/>
  </w:font>
  <w:font w:name="Cambria Math">
    <w:panose1 w:val="02040503050406030204"/>
    <w:charset w:val="00"/>
    <w:family w:val="roman"/>
    <w:pitch w:val="variable"/>
    <w:sig w:usb0="E00002FF" w:usb1="420024FF" w:usb2="00000000" w:usb3="00000000" w:csb0="0000019F" w:csb1="00000000"/>
  </w:font>
  <w:font w:name="等线">
    <w:altName w:val="Arial Unicode MS"/>
    <w:charset w:val="86"/>
    <w:family w:val="auto"/>
    <w:pitch w:val="variable"/>
    <w:sig w:usb0="00000000" w:usb1="38CF7CFA" w:usb2="00000016" w:usb3="00000000" w:csb0="0004000F" w:csb1="00000000"/>
  </w:font>
  <w:font w:name="PalatinoLinotype">
    <w:altName w:val="Yu Gothic UI"/>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等线 Light">
    <w:charset w:val="86"/>
    <w:family w:val="auto"/>
    <w:pitch w:val="variable"/>
    <w:sig w:usb0="00000287" w:usb1="080E0000" w:usb2="00000010"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4DDF75" w14:textId="77777777" w:rsidR="001F76E9" w:rsidRPr="008642CC" w:rsidRDefault="001F76E9" w:rsidP="001F76E9">
    <w:pPr>
      <w:pStyle w:val="Pidipagina"/>
      <w:spacing w:line="240"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689799" w14:textId="77777777" w:rsidR="009768AA" w:rsidRDefault="009768AA" w:rsidP="00D67EF8">
    <w:pPr>
      <w:pBdr>
        <w:top w:val="single" w:sz="4" w:space="0" w:color="000000"/>
      </w:pBdr>
      <w:tabs>
        <w:tab w:val="right" w:pos="8844"/>
      </w:tabs>
      <w:adjustRightInd w:val="0"/>
      <w:snapToGrid w:val="0"/>
      <w:spacing w:before="480" w:line="100" w:lineRule="exact"/>
      <w:jc w:val="left"/>
      <w:rPr>
        <w:i/>
        <w:sz w:val="16"/>
        <w:szCs w:val="16"/>
      </w:rPr>
    </w:pPr>
  </w:p>
  <w:p w14:paraId="508C887F" w14:textId="77777777" w:rsidR="001F76E9" w:rsidRPr="00372FCD" w:rsidRDefault="001F76E9" w:rsidP="00684E2F">
    <w:pPr>
      <w:tabs>
        <w:tab w:val="right" w:pos="10466"/>
      </w:tabs>
      <w:adjustRightInd w:val="0"/>
      <w:snapToGrid w:val="0"/>
      <w:spacing w:line="240" w:lineRule="auto"/>
      <w:rPr>
        <w:sz w:val="16"/>
        <w:szCs w:val="16"/>
        <w:lang w:val="fr-CH"/>
      </w:rPr>
    </w:pPr>
    <w:r w:rsidRPr="00ED1EBA">
      <w:rPr>
        <w:i/>
        <w:sz w:val="16"/>
        <w:szCs w:val="16"/>
      </w:rPr>
      <w:t>Biology</w:t>
    </w:r>
    <w:r>
      <w:rPr>
        <w:i/>
        <w:sz w:val="16"/>
        <w:szCs w:val="16"/>
      </w:rPr>
      <w:t xml:space="preserve"> </w:t>
    </w:r>
    <w:r w:rsidR="00F640E5" w:rsidRPr="00F640E5">
      <w:rPr>
        <w:b/>
        <w:bCs/>
        <w:iCs/>
        <w:sz w:val="16"/>
        <w:szCs w:val="16"/>
      </w:rPr>
      <w:t>2021</w:t>
    </w:r>
    <w:r w:rsidR="00A5156D" w:rsidRPr="00A5156D">
      <w:rPr>
        <w:bCs/>
        <w:iCs/>
        <w:sz w:val="16"/>
        <w:szCs w:val="16"/>
      </w:rPr>
      <w:t xml:space="preserve">, </w:t>
    </w:r>
    <w:r w:rsidR="00F640E5" w:rsidRPr="00F640E5">
      <w:rPr>
        <w:bCs/>
        <w:i/>
        <w:iCs/>
        <w:sz w:val="16"/>
        <w:szCs w:val="16"/>
      </w:rPr>
      <w:t>10</w:t>
    </w:r>
    <w:r w:rsidR="00A5156D" w:rsidRPr="00A5156D">
      <w:rPr>
        <w:bCs/>
        <w:iCs/>
        <w:sz w:val="16"/>
        <w:szCs w:val="16"/>
      </w:rPr>
      <w:t xml:space="preserve">, </w:t>
    </w:r>
    <w:r w:rsidR="00B34F01">
      <w:rPr>
        <w:bCs/>
        <w:iCs/>
        <w:sz w:val="16"/>
        <w:szCs w:val="16"/>
      </w:rPr>
      <w:t>x</w:t>
    </w:r>
    <w:r w:rsidR="009768AA">
      <w:rPr>
        <w:bCs/>
        <w:iCs/>
        <w:sz w:val="16"/>
        <w:szCs w:val="16"/>
      </w:rPr>
      <w:t>. https://doi.org/10.3390/xxxxx</w:t>
    </w:r>
    <w:r w:rsidR="00684E2F" w:rsidRPr="00372FCD">
      <w:rPr>
        <w:sz w:val="16"/>
        <w:szCs w:val="16"/>
        <w:lang w:val="fr-CH"/>
      </w:rPr>
      <w:tab/>
    </w:r>
    <w:r w:rsidRPr="00372FCD">
      <w:rPr>
        <w:sz w:val="16"/>
        <w:szCs w:val="16"/>
        <w:lang w:val="fr-CH"/>
      </w:rPr>
      <w:t>www.mdpi.com/journal/</w:t>
    </w:r>
    <w:r w:rsidRPr="00ED1EBA">
      <w:rPr>
        <w:sz w:val="16"/>
        <w:szCs w:val="16"/>
      </w:rPr>
      <w:t>biology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43CB7E" w14:textId="77777777" w:rsidR="00A23F35" w:rsidRDefault="00A23F35">
      <w:pPr>
        <w:spacing w:line="240" w:lineRule="auto"/>
      </w:pPr>
      <w:r>
        <w:separator/>
      </w:r>
    </w:p>
  </w:footnote>
  <w:footnote w:type="continuationSeparator" w:id="0">
    <w:p w14:paraId="5C11A98F" w14:textId="77777777" w:rsidR="00A23F35" w:rsidRDefault="00A23F3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B41B97" w14:textId="77777777" w:rsidR="001F76E9" w:rsidRDefault="001F76E9" w:rsidP="001F76E9">
    <w:pPr>
      <w:pStyle w:val="Intestazione"/>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044272" w14:textId="77777777" w:rsidR="009768AA" w:rsidRDefault="001F76E9" w:rsidP="00684E2F">
    <w:pPr>
      <w:tabs>
        <w:tab w:val="right" w:pos="10466"/>
      </w:tabs>
      <w:adjustRightInd w:val="0"/>
      <w:snapToGrid w:val="0"/>
      <w:spacing w:line="240" w:lineRule="auto"/>
      <w:rPr>
        <w:sz w:val="16"/>
      </w:rPr>
    </w:pPr>
    <w:r>
      <w:rPr>
        <w:i/>
        <w:sz w:val="16"/>
      </w:rPr>
      <w:t xml:space="preserve">Biology </w:t>
    </w:r>
    <w:r w:rsidR="00642C56" w:rsidRPr="00642C56">
      <w:rPr>
        <w:b/>
        <w:sz w:val="16"/>
      </w:rPr>
      <w:t>2021</w:t>
    </w:r>
    <w:r w:rsidR="00A5156D" w:rsidRPr="00A5156D">
      <w:rPr>
        <w:sz w:val="16"/>
      </w:rPr>
      <w:t xml:space="preserve">, </w:t>
    </w:r>
    <w:r w:rsidR="00642C56" w:rsidRPr="00642C56">
      <w:rPr>
        <w:i/>
        <w:sz w:val="16"/>
      </w:rPr>
      <w:t>10</w:t>
    </w:r>
    <w:r w:rsidR="00B34F01">
      <w:rPr>
        <w:sz w:val="16"/>
      </w:rPr>
      <w:t>, x FOR PEER REVIEW</w:t>
    </w:r>
    <w:r w:rsidR="00684E2F">
      <w:rPr>
        <w:sz w:val="16"/>
      </w:rPr>
      <w:tab/>
    </w:r>
    <w:r w:rsidR="00B34F01">
      <w:rPr>
        <w:sz w:val="16"/>
      </w:rPr>
      <w:fldChar w:fldCharType="begin"/>
    </w:r>
    <w:r w:rsidR="00B34F01">
      <w:rPr>
        <w:sz w:val="16"/>
      </w:rPr>
      <w:instrText xml:space="preserve"> PAGE   \* MERGEFORMAT </w:instrText>
    </w:r>
    <w:r w:rsidR="00B34F01">
      <w:rPr>
        <w:sz w:val="16"/>
      </w:rPr>
      <w:fldChar w:fldCharType="separate"/>
    </w:r>
    <w:r w:rsidR="0013613D">
      <w:rPr>
        <w:sz w:val="16"/>
      </w:rPr>
      <w:t>2</w:t>
    </w:r>
    <w:r w:rsidR="00B34F01">
      <w:rPr>
        <w:sz w:val="16"/>
      </w:rPr>
      <w:fldChar w:fldCharType="end"/>
    </w:r>
    <w:r w:rsidR="00B34F01">
      <w:rPr>
        <w:sz w:val="16"/>
      </w:rPr>
      <w:t xml:space="preserve"> of </w:t>
    </w:r>
    <w:r w:rsidR="00B34F01">
      <w:rPr>
        <w:sz w:val="16"/>
      </w:rPr>
      <w:fldChar w:fldCharType="begin"/>
    </w:r>
    <w:r w:rsidR="00B34F01">
      <w:rPr>
        <w:sz w:val="16"/>
      </w:rPr>
      <w:instrText xml:space="preserve"> NUMPAGES   \* MERGEFORMAT </w:instrText>
    </w:r>
    <w:r w:rsidR="00B34F01">
      <w:rPr>
        <w:sz w:val="16"/>
      </w:rPr>
      <w:fldChar w:fldCharType="separate"/>
    </w:r>
    <w:r w:rsidR="0013613D">
      <w:rPr>
        <w:sz w:val="16"/>
      </w:rPr>
      <w:t>15</w:t>
    </w:r>
    <w:r w:rsidR="00B34F01">
      <w:rPr>
        <w:sz w:val="16"/>
      </w:rPr>
      <w:fldChar w:fldCharType="end"/>
    </w:r>
  </w:p>
  <w:p w14:paraId="5775F8FD" w14:textId="77777777" w:rsidR="001F76E9" w:rsidRPr="00A91D09" w:rsidRDefault="001F76E9" w:rsidP="00D67EF8">
    <w:pPr>
      <w:pBdr>
        <w:bottom w:val="single" w:sz="4" w:space="1" w:color="000000"/>
      </w:pBdr>
      <w:tabs>
        <w:tab w:val="right" w:pos="8844"/>
      </w:tabs>
      <w:adjustRightInd w:val="0"/>
      <w:snapToGrid w:val="0"/>
      <w:spacing w:after="480" w:line="100" w:lineRule="exact"/>
      <w:jc w:val="left"/>
      <w:rPr>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487" w:type="dxa"/>
      <w:tblCellMar>
        <w:left w:w="0" w:type="dxa"/>
        <w:right w:w="0" w:type="dxa"/>
      </w:tblCellMar>
      <w:tblLook w:val="04A0" w:firstRow="1" w:lastRow="0" w:firstColumn="1" w:lastColumn="0" w:noHBand="0" w:noVBand="1"/>
    </w:tblPr>
    <w:tblGrid>
      <w:gridCol w:w="3679"/>
      <w:gridCol w:w="4535"/>
      <w:gridCol w:w="2273"/>
    </w:tblGrid>
    <w:tr w:rsidR="009768AA" w:rsidRPr="00684E2F" w14:paraId="5765730C" w14:textId="77777777" w:rsidTr="00684E2F">
      <w:trPr>
        <w:trHeight w:val="686"/>
      </w:trPr>
      <w:tc>
        <w:tcPr>
          <w:tcW w:w="3679" w:type="dxa"/>
          <w:shd w:val="clear" w:color="auto" w:fill="auto"/>
          <w:vAlign w:val="center"/>
        </w:tcPr>
        <w:p w14:paraId="3E0C82F0" w14:textId="77777777" w:rsidR="009768AA" w:rsidRPr="00102EDB" w:rsidRDefault="008952D3" w:rsidP="00684E2F">
          <w:pPr>
            <w:pStyle w:val="Intestazione"/>
            <w:pBdr>
              <w:bottom w:val="none" w:sz="0" w:space="0" w:color="auto"/>
            </w:pBdr>
            <w:jc w:val="left"/>
            <w:rPr>
              <w:rFonts w:eastAsia="等线"/>
              <w:b/>
              <w:bCs/>
            </w:rPr>
          </w:pPr>
          <w:r w:rsidRPr="003422E4">
            <w:rPr>
              <w:rFonts w:eastAsia="等线"/>
              <w:b/>
              <w:lang w:val="it-IT" w:eastAsia="it-IT"/>
            </w:rPr>
            <w:drawing>
              <wp:inline distT="0" distB="0" distL="0" distR="0" wp14:anchorId="41B0618D" wp14:editId="269B4733">
                <wp:extent cx="1641475" cy="433705"/>
                <wp:effectExtent l="0" t="0" r="0" b="0"/>
                <wp:docPr id="9" name="Picture 5" descr="C:\Users\home\Desktop\logos\带白边的logo\Biology-Data\Biology\Biology_high-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ome\Desktop\logos\带白边的logo\Biology-Data\Biology\Biology_high-01.png"/>
                        <pic:cNvPicPr>
                          <a:picLocks noChangeAspect="1" noChangeArrowheads="1"/>
                        </pic:cNvPicPr>
                      </pic:nvPicPr>
                      <pic:blipFill>
                        <a:blip r:embed="rId1">
                          <a:extLst>
                            <a:ext uri="{28A0092B-C50C-407E-A947-70E740481C1C}">
                              <a14:useLocalDpi xmlns:a14="http://schemas.microsoft.com/office/drawing/2010/main" val="0"/>
                            </a:ext>
                          </a:extLst>
                        </a:blip>
                        <a:srcRect l="3667" t="9840" b="10683"/>
                        <a:stretch>
                          <a:fillRect/>
                        </a:stretch>
                      </pic:blipFill>
                      <pic:spPr bwMode="auto">
                        <a:xfrm>
                          <a:off x="0" y="0"/>
                          <a:ext cx="1641475" cy="433705"/>
                        </a:xfrm>
                        <a:prstGeom prst="rect">
                          <a:avLst/>
                        </a:prstGeom>
                        <a:noFill/>
                        <a:ln>
                          <a:noFill/>
                        </a:ln>
                      </pic:spPr>
                    </pic:pic>
                  </a:graphicData>
                </a:graphic>
              </wp:inline>
            </w:drawing>
          </w:r>
        </w:p>
      </w:tc>
      <w:tc>
        <w:tcPr>
          <w:tcW w:w="4535" w:type="dxa"/>
          <w:shd w:val="clear" w:color="auto" w:fill="auto"/>
          <w:vAlign w:val="center"/>
        </w:tcPr>
        <w:p w14:paraId="0107F8C0" w14:textId="77777777" w:rsidR="009768AA" w:rsidRPr="00102EDB" w:rsidRDefault="009768AA" w:rsidP="00684E2F">
          <w:pPr>
            <w:pStyle w:val="Intestazione"/>
            <w:pBdr>
              <w:bottom w:val="none" w:sz="0" w:space="0" w:color="auto"/>
            </w:pBdr>
            <w:rPr>
              <w:rFonts w:eastAsia="等线"/>
              <w:b/>
              <w:bCs/>
            </w:rPr>
          </w:pPr>
        </w:p>
      </w:tc>
      <w:tc>
        <w:tcPr>
          <w:tcW w:w="2273" w:type="dxa"/>
          <w:shd w:val="clear" w:color="auto" w:fill="auto"/>
          <w:vAlign w:val="center"/>
        </w:tcPr>
        <w:p w14:paraId="29DE7CC6" w14:textId="77777777" w:rsidR="009768AA" w:rsidRPr="00102EDB" w:rsidRDefault="008952D3" w:rsidP="00684E2F">
          <w:pPr>
            <w:pStyle w:val="Intestazione"/>
            <w:pBdr>
              <w:bottom w:val="none" w:sz="0" w:space="0" w:color="auto"/>
            </w:pBdr>
            <w:jc w:val="right"/>
            <w:rPr>
              <w:rFonts w:eastAsia="等线"/>
              <w:b/>
              <w:bCs/>
            </w:rPr>
          </w:pPr>
          <w:r w:rsidRPr="003422E4">
            <w:rPr>
              <w:rFonts w:eastAsia="等线"/>
              <w:b/>
              <w:lang w:val="it-IT" w:eastAsia="it-IT"/>
            </w:rPr>
            <w:drawing>
              <wp:inline distT="0" distB="0" distL="0" distR="0" wp14:anchorId="2E07355D" wp14:editId="6596EF59">
                <wp:extent cx="539115" cy="357505"/>
                <wp:effectExtent l="0" t="0" r="0" b="0"/>
                <wp:docPr id="8" name="Picture 6" descr="M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DPI"/>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39115" cy="357505"/>
                        </a:xfrm>
                        <a:prstGeom prst="rect">
                          <a:avLst/>
                        </a:prstGeom>
                        <a:noFill/>
                        <a:ln>
                          <a:noFill/>
                        </a:ln>
                      </pic:spPr>
                    </pic:pic>
                  </a:graphicData>
                </a:graphic>
              </wp:inline>
            </w:drawing>
          </w:r>
        </w:p>
      </w:tc>
    </w:tr>
  </w:tbl>
  <w:p w14:paraId="69FB84C3" w14:textId="77777777" w:rsidR="001F76E9" w:rsidRPr="009768AA" w:rsidRDefault="001F76E9" w:rsidP="00D67EF8">
    <w:pPr>
      <w:pBdr>
        <w:bottom w:val="single" w:sz="4" w:space="1" w:color="000000"/>
      </w:pBdr>
      <w:adjustRightInd w:val="0"/>
      <w:snapToGrid w:val="0"/>
      <w:spacing w:line="100" w:lineRule="exact"/>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95464C"/>
    <w:multiLevelType w:val="hybridMultilevel"/>
    <w:tmpl w:val="0B64424A"/>
    <w:lvl w:ilvl="0" w:tplc="275EC4A2">
      <w:start w:val="4"/>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
    <w:nsid w:val="13D4669C"/>
    <w:multiLevelType w:val="multilevel"/>
    <w:tmpl w:val="832801B6"/>
    <w:lvl w:ilvl="0">
      <w:start w:val="1"/>
      <w:numFmt w:val="decimal"/>
      <w:lvlText w:val="%1."/>
      <w:lvlJc w:val="left"/>
      <w:pPr>
        <w:ind w:left="720" w:hanging="360"/>
      </w:pPr>
      <w:rPr>
        <w:rFonts w:hint="default"/>
      </w:rPr>
    </w:lvl>
    <w:lvl w:ilvl="1">
      <w:start w:val="4"/>
      <w:numFmt w:val="decimal"/>
      <w:isLgl/>
      <w:lvlText w:val="%1.%2"/>
      <w:lvlJc w:val="left"/>
      <w:pPr>
        <w:ind w:left="765" w:hanging="405"/>
      </w:pPr>
      <w:rPr>
        <w:rFonts w:hint="default"/>
      </w:rPr>
    </w:lvl>
    <w:lvl w:ilvl="2">
      <w:start w:val="1"/>
      <w:numFmt w:val="decimal"/>
      <w:isLgl/>
      <w:lvlText w:val="%1.%2.%3"/>
      <w:lvlJc w:val="left"/>
      <w:pPr>
        <w:ind w:left="1287"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15870224"/>
    <w:multiLevelType w:val="hybridMultilevel"/>
    <w:tmpl w:val="49B05E64"/>
    <w:lvl w:ilvl="0" w:tplc="ADD2BC10">
      <w:start w:val="10"/>
      <w:numFmt w:val="upperRoman"/>
      <w:lvlText w:val="%1."/>
      <w:lvlJc w:val="left"/>
      <w:pPr>
        <w:ind w:left="1425" w:hanging="720"/>
      </w:pPr>
      <w:rPr>
        <w:rFonts w:hint="default"/>
        <w:color w:val="000000"/>
      </w:rPr>
    </w:lvl>
    <w:lvl w:ilvl="1" w:tplc="04100019" w:tentative="1">
      <w:start w:val="1"/>
      <w:numFmt w:val="lowerLetter"/>
      <w:lvlText w:val="%2."/>
      <w:lvlJc w:val="left"/>
      <w:pPr>
        <w:ind w:left="1785" w:hanging="360"/>
      </w:pPr>
    </w:lvl>
    <w:lvl w:ilvl="2" w:tplc="0410001B" w:tentative="1">
      <w:start w:val="1"/>
      <w:numFmt w:val="lowerRoman"/>
      <w:lvlText w:val="%3."/>
      <w:lvlJc w:val="right"/>
      <w:pPr>
        <w:ind w:left="2505" w:hanging="180"/>
      </w:pPr>
    </w:lvl>
    <w:lvl w:ilvl="3" w:tplc="0410000F" w:tentative="1">
      <w:start w:val="1"/>
      <w:numFmt w:val="decimal"/>
      <w:lvlText w:val="%4."/>
      <w:lvlJc w:val="left"/>
      <w:pPr>
        <w:ind w:left="3225" w:hanging="360"/>
      </w:pPr>
    </w:lvl>
    <w:lvl w:ilvl="4" w:tplc="04100019" w:tentative="1">
      <w:start w:val="1"/>
      <w:numFmt w:val="lowerLetter"/>
      <w:lvlText w:val="%5."/>
      <w:lvlJc w:val="left"/>
      <w:pPr>
        <w:ind w:left="3945" w:hanging="360"/>
      </w:pPr>
    </w:lvl>
    <w:lvl w:ilvl="5" w:tplc="0410001B" w:tentative="1">
      <w:start w:val="1"/>
      <w:numFmt w:val="lowerRoman"/>
      <w:lvlText w:val="%6."/>
      <w:lvlJc w:val="right"/>
      <w:pPr>
        <w:ind w:left="4665" w:hanging="180"/>
      </w:pPr>
    </w:lvl>
    <w:lvl w:ilvl="6" w:tplc="0410000F" w:tentative="1">
      <w:start w:val="1"/>
      <w:numFmt w:val="decimal"/>
      <w:lvlText w:val="%7."/>
      <w:lvlJc w:val="left"/>
      <w:pPr>
        <w:ind w:left="5385" w:hanging="360"/>
      </w:pPr>
    </w:lvl>
    <w:lvl w:ilvl="7" w:tplc="04100019" w:tentative="1">
      <w:start w:val="1"/>
      <w:numFmt w:val="lowerLetter"/>
      <w:lvlText w:val="%8."/>
      <w:lvlJc w:val="left"/>
      <w:pPr>
        <w:ind w:left="6105" w:hanging="360"/>
      </w:pPr>
    </w:lvl>
    <w:lvl w:ilvl="8" w:tplc="0410001B" w:tentative="1">
      <w:start w:val="1"/>
      <w:numFmt w:val="lowerRoman"/>
      <w:lvlText w:val="%9."/>
      <w:lvlJc w:val="right"/>
      <w:pPr>
        <w:ind w:left="6825" w:hanging="180"/>
      </w:pPr>
    </w:lvl>
  </w:abstractNum>
  <w:abstractNum w:abstractNumId="3">
    <w:nsid w:val="18B468F5"/>
    <w:multiLevelType w:val="hybridMultilevel"/>
    <w:tmpl w:val="F7E250A8"/>
    <w:lvl w:ilvl="0" w:tplc="5A92E4B0">
      <w:start w:val="1"/>
      <w:numFmt w:val="decimal"/>
      <w:lvlRestart w:val="0"/>
      <w:pStyle w:val="MDPI71References"/>
      <w:lvlText w:val="%1."/>
      <w:lvlJc w:val="left"/>
      <w:pPr>
        <w:ind w:left="425" w:hanging="425"/>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E0C6F5D"/>
    <w:multiLevelType w:val="hybridMultilevel"/>
    <w:tmpl w:val="8BFE0D56"/>
    <w:lvl w:ilvl="0" w:tplc="CCCE9BD4">
      <w:start w:val="1"/>
      <w:numFmt w:val="bullet"/>
      <w:lvlRestart w:val="0"/>
      <w:pStyle w:val="MDPI38bullet"/>
      <w:lvlText w:val=""/>
      <w:lvlJc w:val="left"/>
      <w:pPr>
        <w:ind w:left="3033" w:hanging="425"/>
      </w:pPr>
      <w:rPr>
        <w:rFonts w:ascii="Symbol" w:hAnsi="Symbol" w:hint="defaul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5">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7">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9">
    <w:nsid w:val="54075B53"/>
    <w:multiLevelType w:val="hybridMultilevel"/>
    <w:tmpl w:val="A0DCA02E"/>
    <w:lvl w:ilvl="0" w:tplc="5CB0595C">
      <w:start w:val="1"/>
      <w:numFmt w:val="decimal"/>
      <w:lvlRestart w:val="0"/>
      <w:pStyle w:val="MDPI37itemize"/>
      <w:lvlText w:val="%1."/>
      <w:lvlJc w:val="left"/>
      <w:pPr>
        <w:ind w:left="3033" w:hanging="425"/>
      </w:p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10">
    <w:nsid w:val="56CF7C60"/>
    <w:multiLevelType w:val="hybridMultilevel"/>
    <w:tmpl w:val="BB52EB1E"/>
    <w:lvl w:ilvl="0" w:tplc="08086F0C">
      <w:start w:val="169"/>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nsid w:val="706D5736"/>
    <w:multiLevelType w:val="hybridMultilevel"/>
    <w:tmpl w:val="E3640C5C"/>
    <w:lvl w:ilvl="0" w:tplc="0409000F">
      <w:start w:val="1"/>
      <w:numFmt w:val="decimal"/>
      <w:lvlText w:val="%1."/>
      <w:lvlJc w:val="left"/>
      <w:pPr>
        <w:ind w:left="1429" w:hanging="360"/>
      </w:pPr>
      <w:rPr>
        <w:rFonts w:hint="eastAsia"/>
      </w:r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num w:numId="1">
    <w:abstractNumId w:val="6"/>
  </w:num>
  <w:num w:numId="2">
    <w:abstractNumId w:val="8"/>
  </w:num>
  <w:num w:numId="3">
    <w:abstractNumId w:val="5"/>
  </w:num>
  <w:num w:numId="4">
    <w:abstractNumId w:val="7"/>
  </w:num>
  <w:num w:numId="5">
    <w:abstractNumId w:val="9"/>
  </w:num>
  <w:num w:numId="6">
    <w:abstractNumId w:val="4"/>
  </w:num>
  <w:num w:numId="7">
    <w:abstractNumId w:val="9"/>
  </w:num>
  <w:num w:numId="8">
    <w:abstractNumId w:val="4"/>
  </w:num>
  <w:num w:numId="9">
    <w:abstractNumId w:val="9"/>
  </w:num>
  <w:num w:numId="10">
    <w:abstractNumId w:val="4"/>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11"/>
  </w:num>
  <w:num w:numId="14">
    <w:abstractNumId w:val="9"/>
  </w:num>
  <w:num w:numId="15">
    <w:abstractNumId w:val="4"/>
  </w:num>
  <w:num w:numId="16">
    <w:abstractNumId w:val="3"/>
  </w:num>
  <w:num w:numId="17">
    <w:abstractNumId w:val="1"/>
  </w:num>
  <w:num w:numId="18">
    <w:abstractNumId w:val="2"/>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510"/>
  <w:autoHyphenation/>
  <w:hyphenationZone w:val="283"/>
  <w:drawingGridHorizontalSpacing w:val="10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52D3"/>
    <w:rsid w:val="00007AF9"/>
    <w:rsid w:val="00013393"/>
    <w:rsid w:val="000355C8"/>
    <w:rsid w:val="00047EDD"/>
    <w:rsid w:val="00084C51"/>
    <w:rsid w:val="00084ED9"/>
    <w:rsid w:val="00086B3E"/>
    <w:rsid w:val="000A64AB"/>
    <w:rsid w:val="000A695A"/>
    <w:rsid w:val="000C4BC3"/>
    <w:rsid w:val="000D16DF"/>
    <w:rsid w:val="000D1EA5"/>
    <w:rsid w:val="000D7D67"/>
    <w:rsid w:val="00102EDB"/>
    <w:rsid w:val="00122C7B"/>
    <w:rsid w:val="001247CC"/>
    <w:rsid w:val="0012542C"/>
    <w:rsid w:val="00127FA3"/>
    <w:rsid w:val="0013613D"/>
    <w:rsid w:val="00172CB0"/>
    <w:rsid w:val="00191D8B"/>
    <w:rsid w:val="001A5740"/>
    <w:rsid w:val="001C02BE"/>
    <w:rsid w:val="001C50F8"/>
    <w:rsid w:val="001C53D3"/>
    <w:rsid w:val="001D50F1"/>
    <w:rsid w:val="001E2AEB"/>
    <w:rsid w:val="001F239C"/>
    <w:rsid w:val="001F76E9"/>
    <w:rsid w:val="001F7E14"/>
    <w:rsid w:val="002C4D12"/>
    <w:rsid w:val="002E50EC"/>
    <w:rsid w:val="002F2FD1"/>
    <w:rsid w:val="002F6303"/>
    <w:rsid w:val="00302DA4"/>
    <w:rsid w:val="003038BE"/>
    <w:rsid w:val="00326141"/>
    <w:rsid w:val="0034129C"/>
    <w:rsid w:val="003422E4"/>
    <w:rsid w:val="00346703"/>
    <w:rsid w:val="003570CF"/>
    <w:rsid w:val="00360AA0"/>
    <w:rsid w:val="00366422"/>
    <w:rsid w:val="00381E31"/>
    <w:rsid w:val="00383656"/>
    <w:rsid w:val="003844F8"/>
    <w:rsid w:val="00391B7A"/>
    <w:rsid w:val="0039496A"/>
    <w:rsid w:val="003A4AAA"/>
    <w:rsid w:val="003C360C"/>
    <w:rsid w:val="003D3BD8"/>
    <w:rsid w:val="003E234D"/>
    <w:rsid w:val="003E4AD7"/>
    <w:rsid w:val="00401D30"/>
    <w:rsid w:val="0040761D"/>
    <w:rsid w:val="004076B5"/>
    <w:rsid w:val="00417CEB"/>
    <w:rsid w:val="004216A4"/>
    <w:rsid w:val="00424E81"/>
    <w:rsid w:val="0043272F"/>
    <w:rsid w:val="004443B1"/>
    <w:rsid w:val="0044538B"/>
    <w:rsid w:val="0045620E"/>
    <w:rsid w:val="00463739"/>
    <w:rsid w:val="0047744B"/>
    <w:rsid w:val="00477931"/>
    <w:rsid w:val="0049418C"/>
    <w:rsid w:val="004C4898"/>
    <w:rsid w:val="004C640C"/>
    <w:rsid w:val="004D4006"/>
    <w:rsid w:val="004E1B81"/>
    <w:rsid w:val="00547914"/>
    <w:rsid w:val="005503CF"/>
    <w:rsid w:val="00562BFD"/>
    <w:rsid w:val="005873F8"/>
    <w:rsid w:val="00592690"/>
    <w:rsid w:val="005951F9"/>
    <w:rsid w:val="005A1C50"/>
    <w:rsid w:val="005A2DD8"/>
    <w:rsid w:val="005A4291"/>
    <w:rsid w:val="005B08F4"/>
    <w:rsid w:val="005E1BA5"/>
    <w:rsid w:val="005E4835"/>
    <w:rsid w:val="00600E43"/>
    <w:rsid w:val="00602484"/>
    <w:rsid w:val="006123ED"/>
    <w:rsid w:val="00617F1F"/>
    <w:rsid w:val="0062520C"/>
    <w:rsid w:val="00625478"/>
    <w:rsid w:val="00642C56"/>
    <w:rsid w:val="00661F08"/>
    <w:rsid w:val="00674472"/>
    <w:rsid w:val="00684E2F"/>
    <w:rsid w:val="00692393"/>
    <w:rsid w:val="006C3AD2"/>
    <w:rsid w:val="006E037C"/>
    <w:rsid w:val="0070168D"/>
    <w:rsid w:val="0072339B"/>
    <w:rsid w:val="00742193"/>
    <w:rsid w:val="00751FF1"/>
    <w:rsid w:val="007619B9"/>
    <w:rsid w:val="00784A58"/>
    <w:rsid w:val="007B37BD"/>
    <w:rsid w:val="007B38D7"/>
    <w:rsid w:val="008114ED"/>
    <w:rsid w:val="008174CB"/>
    <w:rsid w:val="00833BE4"/>
    <w:rsid w:val="00836AD0"/>
    <w:rsid w:val="00844C2F"/>
    <w:rsid w:val="008573E7"/>
    <w:rsid w:val="00860106"/>
    <w:rsid w:val="008622C7"/>
    <w:rsid w:val="008952D3"/>
    <w:rsid w:val="008A2CB0"/>
    <w:rsid w:val="008B549D"/>
    <w:rsid w:val="008B58DB"/>
    <w:rsid w:val="008D2E94"/>
    <w:rsid w:val="008D594B"/>
    <w:rsid w:val="008E251F"/>
    <w:rsid w:val="008F2016"/>
    <w:rsid w:val="008F76E5"/>
    <w:rsid w:val="00911652"/>
    <w:rsid w:val="00914938"/>
    <w:rsid w:val="009401E6"/>
    <w:rsid w:val="00950822"/>
    <w:rsid w:val="00960854"/>
    <w:rsid w:val="009611E7"/>
    <w:rsid w:val="009758BF"/>
    <w:rsid w:val="009768AA"/>
    <w:rsid w:val="00985DA1"/>
    <w:rsid w:val="009C27D2"/>
    <w:rsid w:val="009D4123"/>
    <w:rsid w:val="009D5B75"/>
    <w:rsid w:val="009E2153"/>
    <w:rsid w:val="009F70E6"/>
    <w:rsid w:val="00A01EE0"/>
    <w:rsid w:val="00A23F35"/>
    <w:rsid w:val="00A42A14"/>
    <w:rsid w:val="00A454AE"/>
    <w:rsid w:val="00A5156D"/>
    <w:rsid w:val="00A822FE"/>
    <w:rsid w:val="00A83F59"/>
    <w:rsid w:val="00B044AA"/>
    <w:rsid w:val="00B10A43"/>
    <w:rsid w:val="00B21529"/>
    <w:rsid w:val="00B2576A"/>
    <w:rsid w:val="00B3130A"/>
    <w:rsid w:val="00B32B44"/>
    <w:rsid w:val="00B34F01"/>
    <w:rsid w:val="00B56C52"/>
    <w:rsid w:val="00B74E3A"/>
    <w:rsid w:val="00B818A9"/>
    <w:rsid w:val="00B83C8C"/>
    <w:rsid w:val="00B8650F"/>
    <w:rsid w:val="00BA028F"/>
    <w:rsid w:val="00BC2B50"/>
    <w:rsid w:val="00C04316"/>
    <w:rsid w:val="00C3343A"/>
    <w:rsid w:val="00C465C2"/>
    <w:rsid w:val="00C51AC3"/>
    <w:rsid w:val="00C5790E"/>
    <w:rsid w:val="00C8722E"/>
    <w:rsid w:val="00CA0318"/>
    <w:rsid w:val="00CA7E69"/>
    <w:rsid w:val="00CC2252"/>
    <w:rsid w:val="00CC6F7D"/>
    <w:rsid w:val="00CE43AA"/>
    <w:rsid w:val="00D05111"/>
    <w:rsid w:val="00D16876"/>
    <w:rsid w:val="00D67EF8"/>
    <w:rsid w:val="00D7457E"/>
    <w:rsid w:val="00D84878"/>
    <w:rsid w:val="00DA4F62"/>
    <w:rsid w:val="00DB6E83"/>
    <w:rsid w:val="00DC0569"/>
    <w:rsid w:val="00DC6FA7"/>
    <w:rsid w:val="00DD1141"/>
    <w:rsid w:val="00DD3C71"/>
    <w:rsid w:val="00DE748E"/>
    <w:rsid w:val="00E30CAD"/>
    <w:rsid w:val="00E31627"/>
    <w:rsid w:val="00E45DFF"/>
    <w:rsid w:val="00E71B54"/>
    <w:rsid w:val="00E817A9"/>
    <w:rsid w:val="00EB7F4C"/>
    <w:rsid w:val="00EC0BBE"/>
    <w:rsid w:val="00EC169C"/>
    <w:rsid w:val="00ED2F48"/>
    <w:rsid w:val="00ED3BC1"/>
    <w:rsid w:val="00ED563B"/>
    <w:rsid w:val="00EF7820"/>
    <w:rsid w:val="00F17F39"/>
    <w:rsid w:val="00F24A33"/>
    <w:rsid w:val="00F4226A"/>
    <w:rsid w:val="00F50F7E"/>
    <w:rsid w:val="00F54B7D"/>
    <w:rsid w:val="00F63AAC"/>
    <w:rsid w:val="00F640E5"/>
    <w:rsid w:val="00F963B2"/>
    <w:rsid w:val="00FA0DC7"/>
    <w:rsid w:val="00FA1365"/>
    <w:rsid w:val="00FA3458"/>
    <w:rsid w:val="00FD14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572930"/>
  <w15:chartTrackingRefBased/>
  <w15:docId w15:val="{F43FBF31-CE4F-4F77-931E-1AFF6D99C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9758BF"/>
    <w:pPr>
      <w:spacing w:line="260" w:lineRule="atLeast"/>
      <w:jc w:val="both"/>
    </w:pPr>
    <w:rPr>
      <w:rFonts w:ascii="Palatino Linotype" w:hAnsi="Palatino Linotype"/>
      <w:noProof/>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DPI11articletype">
    <w:name w:val="MDPI_1.1_article_type"/>
    <w:next w:val="Normale"/>
    <w:qFormat/>
    <w:rsid w:val="009758BF"/>
    <w:pPr>
      <w:adjustRightInd w:val="0"/>
      <w:snapToGrid w:val="0"/>
      <w:spacing w:before="240"/>
    </w:pPr>
    <w:rPr>
      <w:rFonts w:ascii="Palatino Linotype" w:eastAsia="Times New Roman" w:hAnsi="Palatino Linotype"/>
      <w:i/>
      <w:snapToGrid w:val="0"/>
      <w:color w:val="000000"/>
      <w:szCs w:val="22"/>
      <w:lang w:eastAsia="de-DE" w:bidi="en-US"/>
    </w:rPr>
  </w:style>
  <w:style w:type="paragraph" w:customStyle="1" w:styleId="MDPI12title">
    <w:name w:val="MDPI_1.2_title"/>
    <w:next w:val="Normale"/>
    <w:qFormat/>
    <w:rsid w:val="009758BF"/>
    <w:pPr>
      <w:adjustRightInd w:val="0"/>
      <w:snapToGrid w:val="0"/>
      <w:spacing w:after="240" w:line="240" w:lineRule="atLeast"/>
    </w:pPr>
    <w:rPr>
      <w:rFonts w:ascii="Palatino Linotype" w:eastAsia="Times New Roman" w:hAnsi="Palatino Linotype"/>
      <w:b/>
      <w:snapToGrid w:val="0"/>
      <w:color w:val="000000"/>
      <w:sz w:val="36"/>
      <w:lang w:eastAsia="de-DE" w:bidi="en-US"/>
    </w:rPr>
  </w:style>
  <w:style w:type="paragraph" w:customStyle="1" w:styleId="MDPI13authornames">
    <w:name w:val="MDPI_1.3_authornames"/>
    <w:next w:val="Normale"/>
    <w:qFormat/>
    <w:rsid w:val="009758BF"/>
    <w:pPr>
      <w:adjustRightInd w:val="0"/>
      <w:snapToGrid w:val="0"/>
      <w:spacing w:after="360" w:line="260" w:lineRule="atLeast"/>
    </w:pPr>
    <w:rPr>
      <w:rFonts w:ascii="Palatino Linotype" w:eastAsia="Times New Roman" w:hAnsi="Palatino Linotype"/>
      <w:b/>
      <w:color w:val="000000"/>
      <w:szCs w:val="22"/>
      <w:lang w:eastAsia="de-DE" w:bidi="en-US"/>
    </w:rPr>
  </w:style>
  <w:style w:type="paragraph" w:customStyle="1" w:styleId="MDPI14history">
    <w:name w:val="MDPI_1.4_history"/>
    <w:basedOn w:val="Normale"/>
    <w:next w:val="Normale"/>
    <w:qFormat/>
    <w:rsid w:val="009758BF"/>
    <w:pPr>
      <w:adjustRightInd w:val="0"/>
      <w:snapToGrid w:val="0"/>
      <w:spacing w:line="240" w:lineRule="atLeast"/>
      <w:ind w:right="113"/>
      <w:jc w:val="left"/>
    </w:pPr>
    <w:rPr>
      <w:rFonts w:eastAsia="Times New Roman"/>
      <w:noProof w:val="0"/>
      <w:sz w:val="14"/>
      <w:lang w:eastAsia="de-DE" w:bidi="en-US"/>
    </w:rPr>
  </w:style>
  <w:style w:type="paragraph" w:customStyle="1" w:styleId="MDPI16affiliation">
    <w:name w:val="MDPI_1.6_affiliation"/>
    <w:qFormat/>
    <w:rsid w:val="009758BF"/>
    <w:pPr>
      <w:adjustRightInd w:val="0"/>
      <w:snapToGrid w:val="0"/>
      <w:spacing w:line="200" w:lineRule="atLeast"/>
      <w:ind w:left="2806" w:hanging="198"/>
    </w:pPr>
    <w:rPr>
      <w:rFonts w:ascii="Palatino Linotype" w:eastAsia="Times New Roman" w:hAnsi="Palatino Linotype"/>
      <w:color w:val="000000"/>
      <w:sz w:val="16"/>
      <w:szCs w:val="18"/>
      <w:lang w:eastAsia="de-DE" w:bidi="en-US"/>
    </w:rPr>
  </w:style>
  <w:style w:type="paragraph" w:customStyle="1" w:styleId="MDPI17abstract">
    <w:name w:val="MDPI_1.7_abstract"/>
    <w:next w:val="Normale"/>
    <w:qFormat/>
    <w:rsid w:val="009758BF"/>
    <w:pPr>
      <w:adjustRightInd w:val="0"/>
      <w:snapToGrid w:val="0"/>
      <w:spacing w:before="240" w:line="260" w:lineRule="atLeast"/>
      <w:ind w:left="2608"/>
      <w:jc w:val="both"/>
    </w:pPr>
    <w:rPr>
      <w:rFonts w:ascii="Palatino Linotype" w:eastAsia="Times New Roman" w:hAnsi="Palatino Linotype"/>
      <w:color w:val="000000"/>
      <w:sz w:val="18"/>
      <w:szCs w:val="22"/>
      <w:lang w:eastAsia="de-DE" w:bidi="en-US"/>
    </w:rPr>
  </w:style>
  <w:style w:type="paragraph" w:customStyle="1" w:styleId="MDPI18keywords">
    <w:name w:val="MDPI_1.8_keywords"/>
    <w:next w:val="Normale"/>
    <w:qFormat/>
    <w:rsid w:val="009758BF"/>
    <w:pPr>
      <w:adjustRightInd w:val="0"/>
      <w:snapToGrid w:val="0"/>
      <w:spacing w:before="240" w:line="260" w:lineRule="atLeast"/>
      <w:ind w:left="2608"/>
      <w:jc w:val="both"/>
    </w:pPr>
    <w:rPr>
      <w:rFonts w:ascii="Palatino Linotype" w:eastAsia="Times New Roman" w:hAnsi="Palatino Linotype"/>
      <w:snapToGrid w:val="0"/>
      <w:color w:val="000000"/>
      <w:sz w:val="18"/>
      <w:szCs w:val="22"/>
      <w:lang w:eastAsia="de-DE" w:bidi="en-US"/>
    </w:rPr>
  </w:style>
  <w:style w:type="paragraph" w:customStyle="1" w:styleId="MDPI19line">
    <w:name w:val="MDPI_1.9_line"/>
    <w:qFormat/>
    <w:rsid w:val="00463739"/>
    <w:pPr>
      <w:pBdr>
        <w:bottom w:val="single" w:sz="4" w:space="1" w:color="auto"/>
      </w:pBdr>
      <w:adjustRightInd w:val="0"/>
      <w:snapToGrid w:val="0"/>
      <w:spacing w:after="480" w:line="260" w:lineRule="atLeast"/>
      <w:ind w:left="2608"/>
      <w:jc w:val="both"/>
    </w:pPr>
    <w:rPr>
      <w:rFonts w:ascii="Palatino Linotype" w:eastAsia="Times New Roman" w:hAnsi="Palatino Linotype" w:cs="Cordia New"/>
      <w:color w:val="000000"/>
      <w:szCs w:val="24"/>
      <w:lang w:eastAsia="de-DE" w:bidi="en-US"/>
    </w:rPr>
  </w:style>
  <w:style w:type="table" w:customStyle="1" w:styleId="Mdeck5tablebodythreelines">
    <w:name w:val="M_deck_5_table_body_three_lines"/>
    <w:basedOn w:val="Tabellanormale"/>
    <w:uiPriority w:val="99"/>
    <w:rsid w:val="00674472"/>
    <w:pPr>
      <w:adjustRightInd w:val="0"/>
      <w:snapToGrid w:val="0"/>
      <w:spacing w:line="300" w:lineRule="exact"/>
      <w:jc w:val="center"/>
    </w:pPr>
    <w:rPr>
      <w:rFonts w:ascii="Times New Roman" w:hAnsi="Times New Roman"/>
      <w:lang w:val="de-DE" w:eastAsia="de-DE"/>
    </w:rPr>
    <w:tblPr>
      <w:jc w:val="center"/>
      <w:tblInd w:w="0" w:type="dxa"/>
      <w:tblBorders>
        <w:bottom w:val="single" w:sz="8" w:space="0" w:color="auto"/>
      </w:tblBorders>
      <w:tblCellMar>
        <w:top w:w="0" w:type="dxa"/>
        <w:left w:w="108" w:type="dxa"/>
        <w:bottom w:w="0" w:type="dxa"/>
        <w:right w:w="108" w:type="dxa"/>
      </w:tblCellMar>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Grigliatabella">
    <w:name w:val="Table Grid"/>
    <w:basedOn w:val="Tabellanormale"/>
    <w:uiPriority w:val="39"/>
    <w:rsid w:val="009758BF"/>
    <w:pPr>
      <w:spacing w:line="260" w:lineRule="atLeast"/>
      <w:jc w:val="both"/>
    </w:pPr>
    <w:rPr>
      <w:rFonts w:ascii="Palatino Linotype" w:hAnsi="Palatino Linotype"/>
      <w:color w:val="00000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dipagina">
    <w:name w:val="footer"/>
    <w:basedOn w:val="Normale"/>
    <w:link w:val="PidipaginaCarattere"/>
    <w:uiPriority w:val="99"/>
    <w:rsid w:val="009758BF"/>
    <w:pPr>
      <w:tabs>
        <w:tab w:val="center" w:pos="4153"/>
        <w:tab w:val="right" w:pos="8306"/>
      </w:tabs>
      <w:snapToGrid w:val="0"/>
      <w:spacing w:line="240" w:lineRule="atLeast"/>
    </w:pPr>
    <w:rPr>
      <w:szCs w:val="18"/>
    </w:rPr>
  </w:style>
  <w:style w:type="character" w:customStyle="1" w:styleId="PidipaginaCarattere">
    <w:name w:val="Piè di pagina Carattere"/>
    <w:link w:val="Pidipagina"/>
    <w:uiPriority w:val="99"/>
    <w:rsid w:val="009758BF"/>
    <w:rPr>
      <w:rFonts w:ascii="Palatino Linotype" w:hAnsi="Palatino Linotype"/>
      <w:noProof/>
      <w:color w:val="000000"/>
      <w:szCs w:val="18"/>
    </w:rPr>
  </w:style>
  <w:style w:type="paragraph" w:styleId="Intestazione">
    <w:name w:val="header"/>
    <w:basedOn w:val="Normale"/>
    <w:link w:val="IntestazioneCarattere"/>
    <w:uiPriority w:val="99"/>
    <w:rsid w:val="009758BF"/>
    <w:pPr>
      <w:pBdr>
        <w:bottom w:val="single" w:sz="6" w:space="1" w:color="auto"/>
      </w:pBdr>
      <w:tabs>
        <w:tab w:val="center" w:pos="4153"/>
        <w:tab w:val="right" w:pos="8306"/>
      </w:tabs>
      <w:snapToGrid w:val="0"/>
      <w:spacing w:line="240" w:lineRule="atLeast"/>
      <w:jc w:val="center"/>
    </w:pPr>
    <w:rPr>
      <w:szCs w:val="18"/>
    </w:rPr>
  </w:style>
  <w:style w:type="character" w:customStyle="1" w:styleId="IntestazioneCarattere">
    <w:name w:val="Intestazione Carattere"/>
    <w:link w:val="Intestazione"/>
    <w:uiPriority w:val="99"/>
    <w:rsid w:val="009758BF"/>
    <w:rPr>
      <w:rFonts w:ascii="Palatino Linotype" w:hAnsi="Palatino Linotype"/>
      <w:noProof/>
      <w:color w:val="000000"/>
      <w:szCs w:val="18"/>
    </w:rPr>
  </w:style>
  <w:style w:type="paragraph" w:customStyle="1" w:styleId="MDPIheaderjournallogo">
    <w:name w:val="MDPI_header_journal_logo"/>
    <w:qFormat/>
    <w:rsid w:val="009758BF"/>
    <w:pPr>
      <w:adjustRightInd w:val="0"/>
      <w:snapToGrid w:val="0"/>
      <w:spacing w:line="260" w:lineRule="atLeast"/>
      <w:jc w:val="both"/>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9758BF"/>
    <w:pPr>
      <w:ind w:firstLine="0"/>
    </w:pPr>
  </w:style>
  <w:style w:type="paragraph" w:customStyle="1" w:styleId="MDPI31text">
    <w:name w:val="MDPI_3.1_text"/>
    <w:qFormat/>
    <w:rsid w:val="001C02BE"/>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3textspaceafter">
    <w:name w:val="MDPI_3.3_text_space_after"/>
    <w:qFormat/>
    <w:rsid w:val="009758BF"/>
    <w:pPr>
      <w:adjustRightInd w:val="0"/>
      <w:snapToGrid w:val="0"/>
      <w:spacing w:after="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5textbeforelist">
    <w:name w:val="MDPI_3.5_text_before_list"/>
    <w:qFormat/>
    <w:rsid w:val="009758BF"/>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6textafterlist">
    <w:name w:val="MDPI_3.6_text_after_list"/>
    <w:qFormat/>
    <w:rsid w:val="009758BF"/>
    <w:pPr>
      <w:adjustRightInd w:val="0"/>
      <w:snapToGrid w:val="0"/>
      <w:spacing w:before="12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7itemize">
    <w:name w:val="MDPI_3.7_itemize"/>
    <w:qFormat/>
    <w:rsid w:val="009758BF"/>
    <w:pPr>
      <w:numPr>
        <w:numId w:val="14"/>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8bullet">
    <w:name w:val="MDPI_3.8_bullet"/>
    <w:qFormat/>
    <w:rsid w:val="009758BF"/>
    <w:pPr>
      <w:numPr>
        <w:numId w:val="15"/>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9equation">
    <w:name w:val="MDPI_3.9_equation"/>
    <w:qFormat/>
    <w:rsid w:val="009758BF"/>
    <w:pPr>
      <w:adjustRightInd w:val="0"/>
      <w:snapToGrid w:val="0"/>
      <w:spacing w:before="120" w:after="120" w:line="260" w:lineRule="atLeast"/>
      <w:ind w:left="709"/>
      <w:jc w:val="center"/>
    </w:pPr>
    <w:rPr>
      <w:rFonts w:ascii="Palatino Linotype" w:eastAsia="Times New Roman" w:hAnsi="Palatino Linotype"/>
      <w:snapToGrid w:val="0"/>
      <w:color w:val="000000"/>
      <w:szCs w:val="22"/>
      <w:lang w:eastAsia="de-DE" w:bidi="en-US"/>
    </w:rPr>
  </w:style>
  <w:style w:type="paragraph" w:customStyle="1" w:styleId="MDPI3aequationnumber">
    <w:name w:val="MDPI_3.a_equation_number"/>
    <w:qFormat/>
    <w:rsid w:val="009758BF"/>
    <w:pPr>
      <w:spacing w:before="120" w:after="120"/>
      <w:jc w:val="right"/>
    </w:pPr>
    <w:rPr>
      <w:rFonts w:ascii="Palatino Linotype" w:eastAsia="Times New Roman" w:hAnsi="Palatino Linotype"/>
      <w:snapToGrid w:val="0"/>
      <w:color w:val="000000"/>
      <w:szCs w:val="22"/>
      <w:lang w:eastAsia="de-DE" w:bidi="en-US"/>
    </w:rPr>
  </w:style>
  <w:style w:type="paragraph" w:customStyle="1" w:styleId="MDPI41tablecaption">
    <w:name w:val="MDPI_4.1_table_caption"/>
    <w:qFormat/>
    <w:rsid w:val="009758BF"/>
    <w:pPr>
      <w:adjustRightInd w:val="0"/>
      <w:snapToGrid w:val="0"/>
      <w:spacing w:before="240" w:after="120" w:line="228" w:lineRule="auto"/>
      <w:ind w:left="2608"/>
    </w:pPr>
    <w:rPr>
      <w:rFonts w:ascii="Palatino Linotype" w:eastAsia="Times New Roman" w:hAnsi="Palatino Linotype" w:cs="Cordia New"/>
      <w:color w:val="000000"/>
      <w:sz w:val="18"/>
      <w:szCs w:val="22"/>
      <w:lang w:eastAsia="de-DE" w:bidi="en-US"/>
    </w:rPr>
  </w:style>
  <w:style w:type="paragraph" w:customStyle="1" w:styleId="MDPI42tablebody">
    <w:name w:val="MDPI_4.2_table_body"/>
    <w:qFormat/>
    <w:rsid w:val="00950822"/>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next w:val="MDPI31text"/>
    <w:qFormat/>
    <w:rsid w:val="009758BF"/>
    <w:pPr>
      <w:adjustRightInd w:val="0"/>
      <w:snapToGrid w:val="0"/>
      <w:spacing w:line="228" w:lineRule="auto"/>
      <w:ind w:left="2608"/>
    </w:pPr>
    <w:rPr>
      <w:rFonts w:ascii="Palatino Linotype" w:eastAsia="Times New Roman" w:hAnsi="Palatino Linotype" w:cs="Cordia New"/>
      <w:color w:val="000000"/>
      <w:sz w:val="18"/>
      <w:szCs w:val="22"/>
      <w:lang w:eastAsia="de-DE" w:bidi="en-US"/>
    </w:rPr>
  </w:style>
  <w:style w:type="paragraph" w:customStyle="1" w:styleId="MDPI51figurecaption">
    <w:name w:val="MDPI_5.1_figure_caption"/>
    <w:qFormat/>
    <w:rsid w:val="009758BF"/>
    <w:pPr>
      <w:adjustRightInd w:val="0"/>
      <w:snapToGrid w:val="0"/>
      <w:spacing w:before="120" w:after="240" w:line="228" w:lineRule="auto"/>
      <w:ind w:left="2608"/>
    </w:pPr>
    <w:rPr>
      <w:rFonts w:ascii="Palatino Linotype" w:eastAsia="Times New Roman" w:hAnsi="Palatino Linotype"/>
      <w:color w:val="000000"/>
      <w:sz w:val="18"/>
      <w:lang w:eastAsia="de-DE" w:bidi="en-US"/>
    </w:rPr>
  </w:style>
  <w:style w:type="paragraph" w:customStyle="1" w:styleId="MDPI52figure">
    <w:name w:val="MDPI_5.2_figure"/>
    <w:qFormat/>
    <w:rsid w:val="009758BF"/>
    <w:pPr>
      <w:adjustRightInd w:val="0"/>
      <w:snapToGrid w:val="0"/>
      <w:spacing w:before="240" w:after="120"/>
      <w:jc w:val="center"/>
    </w:pPr>
    <w:rPr>
      <w:rFonts w:ascii="Palatino Linotype" w:eastAsia="Times New Roman" w:hAnsi="Palatino Linotype"/>
      <w:snapToGrid w:val="0"/>
      <w:color w:val="000000"/>
      <w:lang w:eastAsia="de-DE" w:bidi="en-US"/>
    </w:rPr>
  </w:style>
  <w:style w:type="paragraph" w:customStyle="1" w:styleId="MDPI23heading3">
    <w:name w:val="MDPI_2.3_heading3"/>
    <w:qFormat/>
    <w:rsid w:val="009758BF"/>
    <w:pPr>
      <w:adjustRightInd w:val="0"/>
      <w:snapToGrid w:val="0"/>
      <w:spacing w:before="60" w:after="60" w:line="228" w:lineRule="auto"/>
      <w:ind w:left="2608"/>
      <w:outlineLvl w:val="2"/>
    </w:pPr>
    <w:rPr>
      <w:rFonts w:ascii="Palatino Linotype" w:eastAsia="Times New Roman" w:hAnsi="Palatino Linotype"/>
      <w:snapToGrid w:val="0"/>
      <w:color w:val="000000"/>
      <w:szCs w:val="22"/>
      <w:lang w:eastAsia="de-DE" w:bidi="en-US"/>
    </w:rPr>
  </w:style>
  <w:style w:type="paragraph" w:customStyle="1" w:styleId="MDPI21heading1">
    <w:name w:val="MDPI_2.1_heading1"/>
    <w:qFormat/>
    <w:rsid w:val="009758BF"/>
    <w:pPr>
      <w:adjustRightInd w:val="0"/>
      <w:snapToGrid w:val="0"/>
      <w:spacing w:before="240" w:after="60" w:line="228" w:lineRule="auto"/>
      <w:ind w:left="2608"/>
      <w:outlineLvl w:val="0"/>
    </w:pPr>
    <w:rPr>
      <w:rFonts w:ascii="Palatino Linotype" w:eastAsia="Times New Roman" w:hAnsi="Palatino Linotype"/>
      <w:b/>
      <w:snapToGrid w:val="0"/>
      <w:color w:val="000000"/>
      <w:szCs w:val="22"/>
      <w:lang w:eastAsia="de-DE" w:bidi="en-US"/>
    </w:rPr>
  </w:style>
  <w:style w:type="paragraph" w:customStyle="1" w:styleId="MDPI22heading2">
    <w:name w:val="MDPI_2.2_heading2"/>
    <w:qFormat/>
    <w:rsid w:val="009758BF"/>
    <w:pPr>
      <w:adjustRightInd w:val="0"/>
      <w:snapToGrid w:val="0"/>
      <w:spacing w:before="60" w:after="60" w:line="228" w:lineRule="auto"/>
      <w:ind w:left="2608"/>
      <w:outlineLvl w:val="1"/>
    </w:pPr>
    <w:rPr>
      <w:rFonts w:ascii="Palatino Linotype" w:eastAsia="Times New Roman" w:hAnsi="Palatino Linotype"/>
      <w:i/>
      <w:noProof/>
      <w:snapToGrid w:val="0"/>
      <w:color w:val="000000"/>
      <w:szCs w:val="22"/>
      <w:lang w:eastAsia="de-DE" w:bidi="en-US"/>
    </w:rPr>
  </w:style>
  <w:style w:type="paragraph" w:customStyle="1" w:styleId="MDPI71References">
    <w:name w:val="MDPI_7.1_References"/>
    <w:qFormat/>
    <w:rsid w:val="00D05111"/>
    <w:pPr>
      <w:numPr>
        <w:numId w:val="16"/>
      </w:numPr>
      <w:adjustRightInd w:val="0"/>
      <w:snapToGrid w:val="0"/>
      <w:spacing w:line="228" w:lineRule="auto"/>
      <w:jc w:val="both"/>
    </w:pPr>
    <w:rPr>
      <w:rFonts w:ascii="Palatino Linotype" w:eastAsia="Times New Roman" w:hAnsi="Palatino Linotype"/>
      <w:color w:val="000000"/>
      <w:sz w:val="18"/>
      <w:lang w:eastAsia="de-DE" w:bidi="en-US"/>
    </w:rPr>
  </w:style>
  <w:style w:type="paragraph" w:styleId="Testofumetto">
    <w:name w:val="Balloon Text"/>
    <w:basedOn w:val="Normale"/>
    <w:link w:val="TestofumettoCarattere"/>
    <w:uiPriority w:val="99"/>
    <w:rsid w:val="009758BF"/>
    <w:rPr>
      <w:rFonts w:cs="Tahoma"/>
      <w:szCs w:val="18"/>
    </w:rPr>
  </w:style>
  <w:style w:type="character" w:customStyle="1" w:styleId="TestofumettoCarattere">
    <w:name w:val="Testo fumetto Carattere"/>
    <w:link w:val="Testofumetto"/>
    <w:uiPriority w:val="99"/>
    <w:rsid w:val="009758BF"/>
    <w:rPr>
      <w:rFonts w:ascii="Palatino Linotype" w:hAnsi="Palatino Linotype" w:cs="Tahoma"/>
      <w:noProof/>
      <w:color w:val="000000"/>
      <w:szCs w:val="18"/>
    </w:rPr>
  </w:style>
  <w:style w:type="character" w:styleId="Numeroriga">
    <w:name w:val="line number"/>
    <w:uiPriority w:val="99"/>
    <w:rsid w:val="00DD3C71"/>
    <w:rPr>
      <w:rFonts w:ascii="Palatino Linotype" w:hAnsi="Palatino Linotype"/>
      <w:sz w:val="16"/>
    </w:rPr>
  </w:style>
  <w:style w:type="table" w:customStyle="1" w:styleId="MDPI41threelinetable">
    <w:name w:val="MDPI_4.1_three_line_table"/>
    <w:basedOn w:val="Tabellanormale"/>
    <w:uiPriority w:val="99"/>
    <w:rsid w:val="009758BF"/>
    <w:pPr>
      <w:adjustRightInd w:val="0"/>
      <w:snapToGrid w:val="0"/>
      <w:jc w:val="center"/>
    </w:pPr>
    <w:rPr>
      <w:rFonts w:ascii="Palatino Linotype" w:hAnsi="Palatino Linotype"/>
      <w:color w:val="000000"/>
    </w:rPr>
    <w:tblPr>
      <w:jc w:val="center"/>
      <w:tblInd w:w="0" w:type="dxa"/>
      <w:tblBorders>
        <w:top w:val="single" w:sz="8" w:space="0" w:color="auto"/>
        <w:bottom w:val="single" w:sz="8" w:space="0" w:color="auto"/>
      </w:tblBorders>
      <w:tblCellMar>
        <w:top w:w="0" w:type="dxa"/>
        <w:left w:w="108" w:type="dxa"/>
        <w:bottom w:w="0" w:type="dxa"/>
        <w:right w:w="108" w:type="dxa"/>
      </w:tblCellMar>
    </w:tblPr>
    <w:trPr>
      <w:jc w:val="center"/>
    </w:trPr>
    <w:tcPr>
      <w:vAlign w:val="center"/>
    </w:tcPr>
    <w:tblStylePr w:type="firstRow">
      <w:rPr>
        <w:rFonts w:ascii="Tahoma" w:hAnsi="Tahoma"/>
        <w:b/>
        <w:i w:val="0"/>
        <w:sz w:val="20"/>
      </w:rPr>
      <w:tblPr/>
      <w:tcPr>
        <w:tcBorders>
          <w:bottom w:val="single" w:sz="4" w:space="0" w:color="auto"/>
        </w:tcBorders>
      </w:tcPr>
    </w:tblStylePr>
  </w:style>
  <w:style w:type="character" w:styleId="Collegamentoipertestuale">
    <w:name w:val="Hyperlink"/>
    <w:uiPriority w:val="99"/>
    <w:rsid w:val="009758BF"/>
    <w:rPr>
      <w:color w:val="0000FF"/>
      <w:u w:val="single"/>
    </w:rPr>
  </w:style>
  <w:style w:type="character" w:customStyle="1" w:styleId="UnresolvedMention1">
    <w:name w:val="Unresolved Mention1"/>
    <w:uiPriority w:val="99"/>
    <w:semiHidden/>
    <w:unhideWhenUsed/>
    <w:rsid w:val="000355C8"/>
    <w:rPr>
      <w:color w:val="605E5C"/>
      <w:shd w:val="clear" w:color="auto" w:fill="E1DFDD"/>
    </w:rPr>
  </w:style>
  <w:style w:type="table" w:styleId="Tabellasemplice4">
    <w:name w:val="Plain Table 4"/>
    <w:basedOn w:val="Tabellanormale"/>
    <w:uiPriority w:val="44"/>
    <w:rsid w:val="00A5156D"/>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Enfasigrassetto">
    <w:name w:val="Strong"/>
    <w:uiPriority w:val="22"/>
    <w:qFormat/>
    <w:rsid w:val="00ED3BC1"/>
    <w:rPr>
      <w:b/>
      <w:bCs/>
    </w:rPr>
  </w:style>
  <w:style w:type="paragraph" w:customStyle="1" w:styleId="MDPI34textspacebefore">
    <w:name w:val="MDPI_3.4_text_space_before"/>
    <w:qFormat/>
    <w:rsid w:val="009758BF"/>
    <w:pPr>
      <w:adjustRightInd w:val="0"/>
      <w:snapToGrid w:val="0"/>
      <w:spacing w:before="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81theorem">
    <w:name w:val="MDPI_8.1_theorem"/>
    <w:qFormat/>
    <w:rsid w:val="009758BF"/>
    <w:pPr>
      <w:adjustRightInd w:val="0"/>
      <w:snapToGrid w:val="0"/>
      <w:spacing w:line="228" w:lineRule="auto"/>
      <w:ind w:left="2608"/>
      <w:jc w:val="both"/>
    </w:pPr>
    <w:rPr>
      <w:rFonts w:ascii="Palatino Linotype" w:eastAsia="Times New Roman" w:hAnsi="Palatino Linotype"/>
      <w:i/>
      <w:snapToGrid w:val="0"/>
      <w:color w:val="000000"/>
      <w:szCs w:val="22"/>
      <w:lang w:eastAsia="de-DE" w:bidi="en-US"/>
    </w:rPr>
  </w:style>
  <w:style w:type="paragraph" w:customStyle="1" w:styleId="MDPI82proof">
    <w:name w:val="MDPI_8.2_proof"/>
    <w:qFormat/>
    <w:rsid w:val="009758BF"/>
    <w:pPr>
      <w:adjustRightInd w:val="0"/>
      <w:snapToGrid w:val="0"/>
      <w:spacing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61Citation">
    <w:name w:val="MDPI_6.1_Citation"/>
    <w:qFormat/>
    <w:rsid w:val="009758BF"/>
    <w:pPr>
      <w:adjustRightInd w:val="0"/>
      <w:snapToGrid w:val="0"/>
      <w:spacing w:line="240" w:lineRule="atLeast"/>
      <w:ind w:right="113"/>
    </w:pPr>
    <w:rPr>
      <w:rFonts w:ascii="Palatino Linotype" w:hAnsi="Palatino Linotype" w:cs="Cordia New"/>
      <w:sz w:val="14"/>
      <w:szCs w:val="22"/>
    </w:rPr>
  </w:style>
  <w:style w:type="paragraph" w:customStyle="1" w:styleId="MDPI62BackMatter">
    <w:name w:val="MDPI_6.2_BackMatter"/>
    <w:qFormat/>
    <w:rsid w:val="009758BF"/>
    <w:pPr>
      <w:adjustRightInd w:val="0"/>
      <w:snapToGrid w:val="0"/>
      <w:spacing w:after="120" w:line="228" w:lineRule="auto"/>
      <w:ind w:left="2608"/>
      <w:jc w:val="both"/>
    </w:pPr>
    <w:rPr>
      <w:rFonts w:ascii="Palatino Linotype" w:eastAsia="Times New Roman" w:hAnsi="Palatino Linotype"/>
      <w:snapToGrid w:val="0"/>
      <w:color w:val="000000"/>
      <w:sz w:val="18"/>
      <w:lang w:eastAsia="en-US" w:bidi="en-US"/>
    </w:rPr>
  </w:style>
  <w:style w:type="paragraph" w:customStyle="1" w:styleId="MDPI63Notes">
    <w:name w:val="MDPI_6.3_Notes"/>
    <w:qFormat/>
    <w:rsid w:val="009758BF"/>
    <w:pPr>
      <w:adjustRightInd w:val="0"/>
      <w:snapToGrid w:val="0"/>
      <w:spacing w:after="120" w:line="240" w:lineRule="atLeast"/>
      <w:ind w:right="113"/>
    </w:pPr>
    <w:rPr>
      <w:rFonts w:ascii="Palatino Linotype" w:hAnsi="Palatino Linotype"/>
      <w:snapToGrid w:val="0"/>
      <w:color w:val="000000"/>
      <w:sz w:val="14"/>
      <w:lang w:eastAsia="en-US" w:bidi="en-US"/>
    </w:rPr>
  </w:style>
  <w:style w:type="paragraph" w:customStyle="1" w:styleId="MDPI15academiceditor">
    <w:name w:val="MDPI_1.5_academic_editor"/>
    <w:qFormat/>
    <w:rsid w:val="009758BF"/>
    <w:pPr>
      <w:adjustRightInd w:val="0"/>
      <w:snapToGrid w:val="0"/>
      <w:spacing w:before="240" w:line="240" w:lineRule="atLeast"/>
      <w:ind w:right="113"/>
    </w:pPr>
    <w:rPr>
      <w:rFonts w:ascii="Palatino Linotype" w:eastAsia="Times New Roman" w:hAnsi="Palatino Linotype"/>
      <w:color w:val="000000"/>
      <w:sz w:val="14"/>
      <w:szCs w:val="22"/>
      <w:lang w:eastAsia="de-DE" w:bidi="en-US"/>
    </w:rPr>
  </w:style>
  <w:style w:type="paragraph" w:customStyle="1" w:styleId="MDPI19classification">
    <w:name w:val="MDPI_1.9_classification"/>
    <w:qFormat/>
    <w:rsid w:val="009758BF"/>
    <w:pPr>
      <w:spacing w:before="240" w:line="260" w:lineRule="atLeast"/>
      <w:ind w:left="113"/>
      <w:jc w:val="both"/>
    </w:pPr>
    <w:rPr>
      <w:rFonts w:ascii="Palatino Linotype" w:eastAsia="Times New Roman" w:hAnsi="Palatino Linotype"/>
      <w:b/>
      <w:color w:val="000000"/>
      <w:szCs w:val="22"/>
      <w:lang w:eastAsia="de-DE" w:bidi="en-US"/>
    </w:rPr>
  </w:style>
  <w:style w:type="paragraph" w:customStyle="1" w:styleId="MDPI411onetablecaption">
    <w:name w:val="MDPI_4.1.1_one_table_caption"/>
    <w:qFormat/>
    <w:rsid w:val="009758BF"/>
    <w:pPr>
      <w:adjustRightInd w:val="0"/>
      <w:snapToGrid w:val="0"/>
      <w:spacing w:before="240" w:after="120" w:line="260" w:lineRule="atLeast"/>
      <w:jc w:val="center"/>
    </w:pPr>
    <w:rPr>
      <w:rFonts w:ascii="Palatino Linotype" w:hAnsi="Palatino Linotype" w:cs="Cordia New"/>
      <w:noProof/>
      <w:color w:val="000000"/>
      <w:sz w:val="18"/>
      <w:szCs w:val="22"/>
      <w:lang w:bidi="en-US"/>
    </w:rPr>
  </w:style>
  <w:style w:type="paragraph" w:customStyle="1" w:styleId="MDPI511onefigurecaption">
    <w:name w:val="MDPI_5.1.1_one_figure_caption"/>
    <w:qFormat/>
    <w:rsid w:val="009758BF"/>
    <w:pPr>
      <w:adjustRightInd w:val="0"/>
      <w:snapToGrid w:val="0"/>
      <w:spacing w:before="240" w:after="120" w:line="260" w:lineRule="atLeast"/>
      <w:jc w:val="center"/>
    </w:pPr>
    <w:rPr>
      <w:rFonts w:ascii="Palatino Linotype" w:hAnsi="Palatino Linotype"/>
      <w:noProof/>
      <w:color w:val="000000"/>
      <w:sz w:val="18"/>
      <w:lang w:bidi="en-US"/>
    </w:rPr>
  </w:style>
  <w:style w:type="paragraph" w:customStyle="1" w:styleId="MDPI72Copyright">
    <w:name w:val="MDPI_7.2_Copyright"/>
    <w:qFormat/>
    <w:rsid w:val="009758BF"/>
    <w:pPr>
      <w:adjustRightInd w:val="0"/>
      <w:snapToGrid w:val="0"/>
      <w:spacing w:before="240" w:line="240" w:lineRule="atLeast"/>
      <w:ind w:right="113"/>
    </w:pPr>
    <w:rPr>
      <w:rFonts w:ascii="Palatino Linotype" w:eastAsia="Times New Roman" w:hAnsi="Palatino Linotype"/>
      <w:noProof/>
      <w:snapToGrid w:val="0"/>
      <w:color w:val="000000"/>
      <w:spacing w:val="-2"/>
      <w:sz w:val="14"/>
      <w:lang w:val="en-GB" w:eastAsia="en-GB"/>
    </w:rPr>
  </w:style>
  <w:style w:type="paragraph" w:customStyle="1" w:styleId="MDPI73CopyrightImage">
    <w:name w:val="MDPI_7.3_CopyrightImage"/>
    <w:rsid w:val="009758BF"/>
    <w:pPr>
      <w:adjustRightInd w:val="0"/>
      <w:snapToGrid w:val="0"/>
      <w:spacing w:after="100" w:line="260" w:lineRule="atLeast"/>
      <w:jc w:val="right"/>
    </w:pPr>
    <w:rPr>
      <w:rFonts w:ascii="Palatino Linotype" w:eastAsia="Times New Roman" w:hAnsi="Palatino Linotype"/>
      <w:color w:val="000000"/>
      <w:lang w:eastAsia="de-CH"/>
    </w:rPr>
  </w:style>
  <w:style w:type="paragraph" w:customStyle="1" w:styleId="MDPIequationFram">
    <w:name w:val="MDPI_equationFram"/>
    <w:qFormat/>
    <w:rsid w:val="009758BF"/>
    <w:pPr>
      <w:adjustRightInd w:val="0"/>
      <w:snapToGrid w:val="0"/>
      <w:spacing w:before="120" w:after="120"/>
      <w:jc w:val="center"/>
    </w:pPr>
    <w:rPr>
      <w:rFonts w:ascii="Palatino Linotype" w:eastAsia="Times New Roman" w:hAnsi="Palatino Linotype"/>
      <w:snapToGrid w:val="0"/>
      <w:color w:val="000000"/>
      <w:szCs w:val="22"/>
      <w:lang w:eastAsia="de-DE" w:bidi="en-US"/>
    </w:rPr>
  </w:style>
  <w:style w:type="paragraph" w:customStyle="1" w:styleId="MDPIfooter">
    <w:name w:val="MDPI_footer"/>
    <w:qFormat/>
    <w:rsid w:val="009758BF"/>
    <w:pPr>
      <w:adjustRightInd w:val="0"/>
      <w:snapToGrid w:val="0"/>
      <w:spacing w:before="120" w:line="260" w:lineRule="atLeast"/>
      <w:jc w:val="center"/>
    </w:pPr>
    <w:rPr>
      <w:rFonts w:ascii="Palatino Linotype" w:eastAsia="Times New Roman" w:hAnsi="Palatino Linotype"/>
      <w:color w:val="000000"/>
      <w:lang w:eastAsia="de-DE"/>
    </w:rPr>
  </w:style>
  <w:style w:type="paragraph" w:customStyle="1" w:styleId="MDPIfooterfirstpage">
    <w:name w:val="MDPI_footer_firstpage"/>
    <w:qFormat/>
    <w:rsid w:val="009758BF"/>
    <w:pPr>
      <w:tabs>
        <w:tab w:val="right" w:pos="8845"/>
      </w:tabs>
      <w:spacing w:line="160" w:lineRule="exact"/>
    </w:pPr>
    <w:rPr>
      <w:rFonts w:ascii="Palatino Linotype" w:eastAsia="Times New Roman" w:hAnsi="Palatino Linotype"/>
      <w:color w:val="000000"/>
      <w:sz w:val="16"/>
      <w:lang w:eastAsia="de-DE"/>
    </w:rPr>
  </w:style>
  <w:style w:type="paragraph" w:customStyle="1" w:styleId="MDPIheader">
    <w:name w:val="MDPI_header"/>
    <w:qFormat/>
    <w:rsid w:val="009758BF"/>
    <w:pPr>
      <w:adjustRightInd w:val="0"/>
      <w:snapToGrid w:val="0"/>
      <w:spacing w:after="240" w:line="260" w:lineRule="atLeast"/>
      <w:jc w:val="both"/>
    </w:pPr>
    <w:rPr>
      <w:rFonts w:ascii="Palatino Linotype" w:eastAsia="Times New Roman" w:hAnsi="Palatino Linotype"/>
      <w:iCs/>
      <w:color w:val="000000"/>
      <w:sz w:val="16"/>
      <w:lang w:eastAsia="de-DE"/>
    </w:rPr>
  </w:style>
  <w:style w:type="paragraph" w:customStyle="1" w:styleId="MDPIheadercitation">
    <w:name w:val="MDPI_header_citation"/>
    <w:rsid w:val="009758BF"/>
    <w:pPr>
      <w:spacing w:after="240"/>
    </w:pPr>
    <w:rPr>
      <w:rFonts w:ascii="Palatino Linotype" w:eastAsia="Times New Roman" w:hAnsi="Palatino Linotype"/>
      <w:snapToGrid w:val="0"/>
      <w:color w:val="000000"/>
      <w:sz w:val="18"/>
      <w:lang w:eastAsia="de-DE" w:bidi="en-US"/>
    </w:rPr>
  </w:style>
  <w:style w:type="paragraph" w:customStyle="1" w:styleId="MDPIheadermdpilogo">
    <w:name w:val="MDPI_header_mdpi_logo"/>
    <w:qFormat/>
    <w:rsid w:val="009758BF"/>
    <w:pPr>
      <w:adjustRightInd w:val="0"/>
      <w:snapToGrid w:val="0"/>
      <w:spacing w:line="260" w:lineRule="atLeast"/>
      <w:jc w:val="right"/>
    </w:pPr>
    <w:rPr>
      <w:rFonts w:ascii="Palatino Linotype" w:eastAsia="Times New Roman" w:hAnsi="Palatino Linotype"/>
      <w:color w:val="000000"/>
      <w:sz w:val="24"/>
      <w:szCs w:val="22"/>
      <w:lang w:eastAsia="de-CH"/>
    </w:rPr>
  </w:style>
  <w:style w:type="table" w:customStyle="1" w:styleId="MDPITable">
    <w:name w:val="MDPI_Table"/>
    <w:basedOn w:val="Tabellanormale"/>
    <w:uiPriority w:val="99"/>
    <w:rsid w:val="009758BF"/>
    <w:rPr>
      <w:rFonts w:ascii="Palatino Linotype" w:hAnsi="Palatino Linotype"/>
      <w:color w:val="000000"/>
      <w:lang w:val="en-CA" w:eastAsia="en-US"/>
    </w:rPr>
    <w:tblPr>
      <w:tblInd w:w="0" w:type="dxa"/>
      <w:tblCellMar>
        <w:top w:w="0" w:type="dxa"/>
        <w:left w:w="0" w:type="dxa"/>
        <w:bottom w:w="0" w:type="dxa"/>
        <w:right w:w="0" w:type="dxa"/>
      </w:tblCellMar>
    </w:tblPr>
  </w:style>
  <w:style w:type="paragraph" w:customStyle="1" w:styleId="MDPItext">
    <w:name w:val="MDPI_text"/>
    <w:qFormat/>
    <w:rsid w:val="009758BF"/>
    <w:pPr>
      <w:spacing w:line="260" w:lineRule="atLeast"/>
      <w:ind w:left="425" w:right="425" w:firstLine="284"/>
      <w:jc w:val="both"/>
    </w:pPr>
    <w:rPr>
      <w:rFonts w:ascii="Times New Roman" w:eastAsia="Times New Roman" w:hAnsi="Times New Roman"/>
      <w:noProof/>
      <w:snapToGrid w:val="0"/>
      <w:color w:val="000000"/>
      <w:sz w:val="22"/>
      <w:szCs w:val="22"/>
      <w:lang w:eastAsia="de-DE" w:bidi="en-US"/>
    </w:rPr>
  </w:style>
  <w:style w:type="paragraph" w:customStyle="1" w:styleId="MDPItitle">
    <w:name w:val="MDPI_title"/>
    <w:qFormat/>
    <w:rsid w:val="009758BF"/>
    <w:pPr>
      <w:adjustRightInd w:val="0"/>
      <w:snapToGrid w:val="0"/>
      <w:spacing w:after="240" w:line="260" w:lineRule="atLeast"/>
      <w:jc w:val="both"/>
    </w:pPr>
    <w:rPr>
      <w:rFonts w:ascii="Palatino Linotype" w:eastAsia="Times New Roman" w:hAnsi="Palatino Linotype"/>
      <w:b/>
      <w:snapToGrid w:val="0"/>
      <w:color w:val="000000"/>
      <w:sz w:val="36"/>
      <w:lang w:eastAsia="de-DE" w:bidi="en-US"/>
    </w:rPr>
  </w:style>
  <w:style w:type="character" w:customStyle="1" w:styleId="apple-converted-space">
    <w:name w:val="apple-converted-space"/>
    <w:rsid w:val="009758BF"/>
  </w:style>
  <w:style w:type="paragraph" w:styleId="Bibliografia">
    <w:name w:val="Bibliography"/>
    <w:basedOn w:val="Normale"/>
    <w:next w:val="Normale"/>
    <w:uiPriority w:val="37"/>
    <w:semiHidden/>
    <w:unhideWhenUsed/>
    <w:rsid w:val="009758BF"/>
  </w:style>
  <w:style w:type="paragraph" w:styleId="Corpotesto">
    <w:name w:val="Body Text"/>
    <w:link w:val="CorpotestoCarattere"/>
    <w:rsid w:val="009758BF"/>
    <w:pPr>
      <w:spacing w:after="120" w:line="340" w:lineRule="atLeast"/>
      <w:jc w:val="both"/>
    </w:pPr>
    <w:rPr>
      <w:rFonts w:ascii="Palatino Linotype" w:hAnsi="Palatino Linotype"/>
      <w:color w:val="000000"/>
      <w:sz w:val="24"/>
      <w:lang w:eastAsia="de-DE"/>
    </w:rPr>
  </w:style>
  <w:style w:type="character" w:customStyle="1" w:styleId="CorpotestoCarattere">
    <w:name w:val="Corpo testo Carattere"/>
    <w:link w:val="Corpotesto"/>
    <w:rsid w:val="009758BF"/>
    <w:rPr>
      <w:rFonts w:ascii="Palatino Linotype" w:hAnsi="Palatino Linotype"/>
      <w:color w:val="000000"/>
      <w:sz w:val="24"/>
      <w:lang w:eastAsia="de-DE"/>
    </w:rPr>
  </w:style>
  <w:style w:type="character" w:styleId="Rimandocommento">
    <w:name w:val="annotation reference"/>
    <w:uiPriority w:val="99"/>
    <w:rsid w:val="009758BF"/>
    <w:rPr>
      <w:sz w:val="21"/>
      <w:szCs w:val="21"/>
    </w:rPr>
  </w:style>
  <w:style w:type="paragraph" w:styleId="Testocommento">
    <w:name w:val="annotation text"/>
    <w:basedOn w:val="Normale"/>
    <w:link w:val="TestocommentoCarattere"/>
    <w:uiPriority w:val="99"/>
    <w:rsid w:val="009758BF"/>
  </w:style>
  <w:style w:type="character" w:customStyle="1" w:styleId="TestocommentoCarattere">
    <w:name w:val="Testo commento Carattere"/>
    <w:link w:val="Testocommento"/>
    <w:uiPriority w:val="99"/>
    <w:rsid w:val="009758BF"/>
    <w:rPr>
      <w:rFonts w:ascii="Palatino Linotype" w:hAnsi="Palatino Linotype"/>
      <w:noProof/>
      <w:color w:val="000000"/>
    </w:rPr>
  </w:style>
  <w:style w:type="paragraph" w:styleId="Soggettocommento">
    <w:name w:val="annotation subject"/>
    <w:basedOn w:val="Testocommento"/>
    <w:next w:val="Testocommento"/>
    <w:link w:val="SoggettocommentoCarattere"/>
    <w:uiPriority w:val="99"/>
    <w:rsid w:val="009758BF"/>
    <w:rPr>
      <w:b/>
      <w:bCs/>
    </w:rPr>
  </w:style>
  <w:style w:type="character" w:customStyle="1" w:styleId="SoggettocommentoCarattere">
    <w:name w:val="Soggetto commento Carattere"/>
    <w:link w:val="Soggettocommento"/>
    <w:uiPriority w:val="99"/>
    <w:rsid w:val="009758BF"/>
    <w:rPr>
      <w:rFonts w:ascii="Palatino Linotype" w:hAnsi="Palatino Linotype"/>
      <w:b/>
      <w:bCs/>
      <w:noProof/>
      <w:color w:val="000000"/>
    </w:rPr>
  </w:style>
  <w:style w:type="character" w:styleId="Rimandonotadichiusura">
    <w:name w:val="endnote reference"/>
    <w:rsid w:val="009758BF"/>
    <w:rPr>
      <w:vertAlign w:val="superscript"/>
    </w:rPr>
  </w:style>
  <w:style w:type="paragraph" w:styleId="Testonotadichiusura">
    <w:name w:val="endnote text"/>
    <w:basedOn w:val="Normale"/>
    <w:link w:val="TestonotadichiusuraCarattere"/>
    <w:semiHidden/>
    <w:unhideWhenUsed/>
    <w:rsid w:val="009758BF"/>
    <w:pPr>
      <w:spacing w:line="240" w:lineRule="auto"/>
    </w:pPr>
  </w:style>
  <w:style w:type="character" w:customStyle="1" w:styleId="TestonotadichiusuraCarattere">
    <w:name w:val="Testo nota di chiusura Carattere"/>
    <w:link w:val="Testonotadichiusura"/>
    <w:semiHidden/>
    <w:rsid w:val="009758BF"/>
    <w:rPr>
      <w:rFonts w:ascii="Palatino Linotype" w:hAnsi="Palatino Linotype"/>
      <w:noProof/>
      <w:color w:val="000000"/>
    </w:rPr>
  </w:style>
  <w:style w:type="character" w:styleId="Collegamentovisitato">
    <w:name w:val="FollowedHyperlink"/>
    <w:rsid w:val="009758BF"/>
    <w:rPr>
      <w:color w:val="954F72"/>
      <w:u w:val="single"/>
    </w:rPr>
  </w:style>
  <w:style w:type="paragraph" w:styleId="Testonotaapidipagina">
    <w:name w:val="footnote text"/>
    <w:basedOn w:val="Normale"/>
    <w:link w:val="TestonotaapidipaginaCarattere"/>
    <w:semiHidden/>
    <w:unhideWhenUsed/>
    <w:rsid w:val="009758BF"/>
    <w:pPr>
      <w:spacing w:line="240" w:lineRule="auto"/>
    </w:pPr>
  </w:style>
  <w:style w:type="character" w:customStyle="1" w:styleId="TestonotaapidipaginaCarattere">
    <w:name w:val="Testo nota a piè di pagina Carattere"/>
    <w:link w:val="Testonotaapidipagina"/>
    <w:semiHidden/>
    <w:rsid w:val="009758BF"/>
    <w:rPr>
      <w:rFonts w:ascii="Palatino Linotype" w:hAnsi="Palatino Linotype"/>
      <w:noProof/>
      <w:color w:val="000000"/>
    </w:rPr>
  </w:style>
  <w:style w:type="paragraph" w:styleId="NormaleWeb">
    <w:name w:val="Normal (Web)"/>
    <w:basedOn w:val="Normale"/>
    <w:uiPriority w:val="99"/>
    <w:rsid w:val="009758BF"/>
    <w:rPr>
      <w:szCs w:val="24"/>
    </w:rPr>
  </w:style>
  <w:style w:type="paragraph" w:customStyle="1" w:styleId="MsoFootnoteText0">
    <w:name w:val="MsoFootnoteText"/>
    <w:basedOn w:val="NormaleWeb"/>
    <w:qFormat/>
    <w:rsid w:val="009758BF"/>
    <w:rPr>
      <w:rFonts w:ascii="Times New Roman" w:hAnsi="Times New Roman"/>
    </w:rPr>
  </w:style>
  <w:style w:type="character" w:styleId="Numeropagina">
    <w:name w:val="page number"/>
    <w:rsid w:val="009758BF"/>
  </w:style>
  <w:style w:type="character" w:styleId="Testosegnaposto">
    <w:name w:val="Placeholder Text"/>
    <w:uiPriority w:val="99"/>
    <w:semiHidden/>
    <w:rsid w:val="009758BF"/>
    <w:rPr>
      <w:color w:val="808080"/>
    </w:rPr>
  </w:style>
  <w:style w:type="paragraph" w:customStyle="1" w:styleId="Default">
    <w:name w:val="Default"/>
    <w:uiPriority w:val="99"/>
    <w:rsid w:val="008952D3"/>
    <w:pPr>
      <w:autoSpaceDE w:val="0"/>
      <w:autoSpaceDN w:val="0"/>
      <w:adjustRightInd w:val="0"/>
    </w:pPr>
    <w:rPr>
      <w:rFonts w:ascii="Times New Roman" w:eastAsia="Times New Roman" w:hAnsi="Times New Roman"/>
      <w:color w:val="000000"/>
      <w:sz w:val="24"/>
      <w:szCs w:val="24"/>
      <w:lang w:val="it-IT" w:eastAsia="it-IT"/>
    </w:rPr>
  </w:style>
  <w:style w:type="character" w:customStyle="1" w:styleId="A12">
    <w:name w:val="A12"/>
    <w:uiPriority w:val="99"/>
    <w:rsid w:val="008952D3"/>
    <w:rPr>
      <w:rFonts w:cs="Times New Roman PS"/>
      <w:color w:val="000000"/>
      <w:sz w:val="11"/>
      <w:szCs w:val="11"/>
    </w:rPr>
  </w:style>
  <w:style w:type="character" w:customStyle="1" w:styleId="highwire-cite-metadata-journal-title">
    <w:name w:val="highwire-cite-metadata-journal-title"/>
    <w:rsid w:val="008952D3"/>
  </w:style>
  <w:style w:type="character" w:customStyle="1" w:styleId="highwire-cite-metadata-date">
    <w:name w:val="highwire-cite-metadata-date"/>
    <w:rsid w:val="008952D3"/>
  </w:style>
  <w:style w:type="character" w:customStyle="1" w:styleId="highwire-cite-metadata-volume">
    <w:name w:val="highwire-cite-metadata-volume"/>
    <w:rsid w:val="008952D3"/>
  </w:style>
  <w:style w:type="character" w:customStyle="1" w:styleId="highwire-cite-metadata-pages">
    <w:name w:val="highwire-cite-metadata-pages"/>
    <w:rsid w:val="008952D3"/>
  </w:style>
  <w:style w:type="character" w:styleId="Enfasicorsivo">
    <w:name w:val="Emphasis"/>
    <w:qFormat/>
    <w:rsid w:val="008952D3"/>
    <w:rPr>
      <w:i/>
      <w:iCs/>
    </w:rPr>
  </w:style>
  <w:style w:type="paragraph" w:styleId="Paragrafoelenco">
    <w:name w:val="List Paragraph"/>
    <w:basedOn w:val="Normale"/>
    <w:uiPriority w:val="34"/>
    <w:qFormat/>
    <w:rsid w:val="008952D3"/>
    <w:pPr>
      <w:spacing w:line="240" w:lineRule="auto"/>
      <w:ind w:left="720"/>
      <w:contextualSpacing/>
      <w:jc w:val="left"/>
    </w:pPr>
    <w:rPr>
      <w:rFonts w:ascii="Times New Roman" w:eastAsia="Times New Roman" w:hAnsi="Times New Roman"/>
      <w:noProof w:val="0"/>
      <w:color w:val="auto"/>
      <w:sz w:val="24"/>
      <w:szCs w:val="24"/>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encoding w:val="iso-8859-6"/>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n.wikipedia.org/wiki/NF-%CE%BAB"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image" Target="media/image7.tiff"/><Relationship Id="rId10" Type="http://schemas.openxmlformats.org/officeDocument/2006/relationships/image" Target="media/image3.tiff"/><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6.tiff"/><Relationship Id="rId22" Type="http://schemas.openxmlformats.org/officeDocument/2006/relationships/theme" Target="theme/theme1.xml"/></Relationships>
</file>

<file path=word/_rels/header3.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DPI\Desktop\biology-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772B4C-ACCB-4221-A83A-46C3D5E01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biology-template.dot</Template>
  <TotalTime>0</TotalTime>
  <Pages>15</Pages>
  <Words>7478</Words>
  <Characters>42627</Characters>
  <Application>Microsoft Office Word</Application>
  <DocSecurity>0</DocSecurity>
  <Lines>355</Lines>
  <Paragraphs>100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Type of the Paper (Article</vt:lpstr>
      <vt:lpstr>Type of the Paper (Article</vt:lpstr>
    </vt:vector>
  </TitlesOfParts>
  <Company/>
  <LinksUpToDate>false</LinksUpToDate>
  <CharactersWithSpaces>50005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subject/>
  <dc:creator>MDPI</dc:creator>
  <cp:keywords/>
  <dc:description/>
  <cp:lastModifiedBy>Utente</cp:lastModifiedBy>
  <cp:revision>2</cp:revision>
  <dcterms:created xsi:type="dcterms:W3CDTF">2021-11-26T15:41:00Z</dcterms:created>
  <dcterms:modified xsi:type="dcterms:W3CDTF">2021-11-26T15:41:00Z</dcterms:modified>
</cp:coreProperties>
</file>