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4EC306" w14:textId="77777777" w:rsidR="002D6793" w:rsidRDefault="002D6793" w:rsidP="002D6793">
      <w:pPr>
        <w:jc w:val="center"/>
        <w:rPr>
          <w:rFonts w:ascii="Times New Roman" w:hAnsi="Times New Roman"/>
          <w:b/>
          <w:bCs/>
          <w:sz w:val="24"/>
          <w:szCs w:val="24"/>
          <w:lang w:val="en-US"/>
        </w:rPr>
      </w:pPr>
      <w:proofErr w:type="gramStart"/>
      <w:r>
        <w:rPr>
          <w:rFonts w:ascii="Times New Roman" w:hAnsi="Times New Roman"/>
          <w:b/>
          <w:bCs/>
          <w:sz w:val="24"/>
          <w:szCs w:val="24"/>
          <w:lang w:val="en-US"/>
        </w:rPr>
        <w:t>The  effect</w:t>
      </w:r>
      <w:proofErr w:type="gramEnd"/>
      <w:r>
        <w:rPr>
          <w:rFonts w:ascii="Times New Roman" w:hAnsi="Times New Roman"/>
          <w:b/>
          <w:bCs/>
          <w:sz w:val="24"/>
          <w:szCs w:val="24"/>
          <w:lang w:val="en-US"/>
        </w:rPr>
        <w:t xml:space="preserve"> of  a Red orange and Lemon  Extract  on Ochratoxin-A induced nephrotoxicity in rats</w:t>
      </w:r>
    </w:p>
    <w:p w14:paraId="7C9C7B4B" w14:textId="77777777" w:rsidR="002D6793" w:rsidRDefault="002D6793" w:rsidP="002D6793">
      <w:pPr>
        <w:spacing w:after="0" w:line="360" w:lineRule="auto"/>
        <w:jc w:val="both"/>
        <w:rPr>
          <w:rFonts w:ascii="Times New Roman" w:hAnsi="Times New Roman"/>
          <w:color w:val="000000"/>
          <w:sz w:val="24"/>
          <w:szCs w:val="24"/>
        </w:rPr>
      </w:pPr>
      <w:r>
        <w:rPr>
          <w:rFonts w:ascii="Times New Roman" w:hAnsi="Times New Roman"/>
          <w:sz w:val="24"/>
          <w:szCs w:val="24"/>
        </w:rPr>
        <w:t>Sara Damiano, Caterina Squillacioti, Andrea Ariano, Francesco Prisco, Salvatore Florio</w:t>
      </w:r>
      <w:r>
        <w:rPr>
          <w:rFonts w:ascii="Times New Roman" w:hAnsi="Times New Roman"/>
          <w:color w:val="000000"/>
          <w:sz w:val="24"/>
          <w:szCs w:val="24"/>
        </w:rPr>
        <w:t xml:space="preserve">, Roberto </w:t>
      </w:r>
      <w:proofErr w:type="spellStart"/>
      <w:r>
        <w:rPr>
          <w:rFonts w:ascii="Times New Roman" w:hAnsi="Times New Roman"/>
          <w:color w:val="000000"/>
          <w:sz w:val="24"/>
          <w:szCs w:val="24"/>
        </w:rPr>
        <w:t>Ciarcia</w:t>
      </w:r>
      <w:proofErr w:type="spellEnd"/>
      <w:r>
        <w:rPr>
          <w:rFonts w:ascii="Times New Roman" w:hAnsi="Times New Roman"/>
          <w:color w:val="000000"/>
          <w:sz w:val="24"/>
          <w:szCs w:val="24"/>
        </w:rPr>
        <w:t>.</w:t>
      </w:r>
    </w:p>
    <w:p w14:paraId="1A32DC57" w14:textId="77777777" w:rsidR="002D6793" w:rsidRDefault="002D6793" w:rsidP="002D6793">
      <w:pPr>
        <w:spacing w:after="0" w:line="360" w:lineRule="auto"/>
        <w:jc w:val="both"/>
      </w:pPr>
    </w:p>
    <w:p w14:paraId="2C3BC541" w14:textId="77777777" w:rsidR="002D6793" w:rsidRDefault="002D6793" w:rsidP="002D6793">
      <w:pPr>
        <w:widowControl w:val="0"/>
        <w:suppressAutoHyphens/>
        <w:overflowPunct w:val="0"/>
        <w:autoSpaceDE w:val="0"/>
        <w:autoSpaceDN w:val="0"/>
        <w:spacing w:after="0" w:line="480" w:lineRule="auto"/>
        <w:ind w:left="567"/>
        <w:jc w:val="center"/>
        <w:textAlignment w:val="baseline"/>
        <w:rPr>
          <w:rFonts w:ascii="Times New Roman" w:hAnsi="Times New Roman"/>
          <w:i/>
          <w:sz w:val="24"/>
          <w:szCs w:val="24"/>
          <w:shd w:val="clear" w:color="auto" w:fill="FFFFFF"/>
          <w:lang w:eastAsia="zh-CN" w:bidi="hi-IN"/>
        </w:rPr>
      </w:pPr>
      <w:r>
        <w:rPr>
          <w:rFonts w:ascii="Times New Roman" w:hAnsi="Times New Roman"/>
          <w:sz w:val="24"/>
          <w:szCs w:val="24"/>
          <w:shd w:val="clear" w:color="auto" w:fill="FFFFFF"/>
          <w:lang w:eastAsia="zh-CN" w:bidi="hi-IN"/>
        </w:rPr>
        <w:t>Università degli Studi di Napoli “Federico II”</w:t>
      </w:r>
      <w:r>
        <w:rPr>
          <w:rFonts w:ascii="Times New Roman" w:hAnsi="Times New Roman"/>
          <w:i/>
          <w:sz w:val="24"/>
          <w:szCs w:val="24"/>
          <w:shd w:val="clear" w:color="auto" w:fill="FFFFFF"/>
          <w:lang w:eastAsia="zh-CN" w:bidi="hi-IN"/>
        </w:rPr>
        <w:t xml:space="preserve">, </w:t>
      </w:r>
      <w:r>
        <w:rPr>
          <w:rFonts w:ascii="Times New Roman" w:hAnsi="Times New Roman"/>
          <w:sz w:val="24"/>
          <w:szCs w:val="24"/>
          <w:shd w:val="clear" w:color="auto" w:fill="FFFFFF"/>
          <w:lang w:eastAsia="zh-CN" w:bidi="hi-IN"/>
        </w:rPr>
        <w:t>Dipartimento di Medicina Veterinaria e Produzioni Animale.</w:t>
      </w:r>
    </w:p>
    <w:p w14:paraId="0C0B2BAD" w14:textId="77777777" w:rsidR="002D6793" w:rsidRDefault="002D6793" w:rsidP="002D6793"/>
    <w:p w14:paraId="23975641" w14:textId="77777777" w:rsidR="002D6793" w:rsidRDefault="002D6793" w:rsidP="002D6793">
      <w:pPr>
        <w:autoSpaceDE w:val="0"/>
        <w:autoSpaceDN w:val="0"/>
        <w:adjustRightInd w:val="0"/>
        <w:spacing w:after="0" w:line="240" w:lineRule="auto"/>
        <w:jc w:val="both"/>
        <w:rPr>
          <w:rFonts w:ascii="Times New Roman" w:hAnsi="Times New Roman"/>
          <w:sz w:val="24"/>
          <w:szCs w:val="24"/>
          <w:lang w:val="en-US"/>
        </w:rPr>
      </w:pPr>
      <w:r>
        <w:rPr>
          <w:rFonts w:ascii="Times New Roman" w:hAnsi="Times New Roman"/>
          <w:sz w:val="24"/>
          <w:szCs w:val="24"/>
          <w:lang w:val="en-US"/>
        </w:rPr>
        <w:t xml:space="preserve">Ochratoxin A (OTA) is the most widespread and </w:t>
      </w:r>
      <w:proofErr w:type="gramStart"/>
      <w:r>
        <w:rPr>
          <w:rFonts w:ascii="Times New Roman" w:hAnsi="Times New Roman"/>
          <w:sz w:val="24"/>
          <w:szCs w:val="24"/>
          <w:lang w:val="en-US"/>
        </w:rPr>
        <w:t>dangerous  mycotoxin</w:t>
      </w:r>
      <w:proofErr w:type="gramEnd"/>
      <w:r>
        <w:rPr>
          <w:rFonts w:ascii="Times New Roman" w:hAnsi="Times New Roman"/>
          <w:sz w:val="24"/>
          <w:szCs w:val="24"/>
          <w:lang w:val="en-US"/>
        </w:rPr>
        <w:t xml:space="preserve"> which contaminates various food commodities including grains, dried fruits, nuts, coffee, meat products, wine and beer (1). The high thermal stability makes the eradication of OTA from the food chain very difficult (2). Its sub-chronic and chronic toxicity in humans and in several </w:t>
      </w:r>
      <w:proofErr w:type="gramStart"/>
      <w:r>
        <w:rPr>
          <w:rFonts w:ascii="Times New Roman" w:hAnsi="Times New Roman"/>
          <w:sz w:val="24"/>
          <w:szCs w:val="24"/>
          <w:lang w:val="en-US"/>
        </w:rPr>
        <w:t>animal</w:t>
      </w:r>
      <w:proofErr w:type="gramEnd"/>
      <w:r>
        <w:rPr>
          <w:rFonts w:ascii="Times New Roman" w:hAnsi="Times New Roman"/>
          <w:sz w:val="24"/>
          <w:szCs w:val="24"/>
          <w:lang w:val="en-US"/>
        </w:rPr>
        <w:t xml:space="preserve"> species includes nephrotoxicity, neurotoxicity, teratogenicity, immunotoxicity and hepatotoxicity (3); however, several studies demonstrated that the kidney is the target organ (3). Since the m</w:t>
      </w:r>
      <w:bookmarkStart w:id="0" w:name="_GoBack"/>
      <w:bookmarkEnd w:id="0"/>
      <w:r>
        <w:rPr>
          <w:rFonts w:ascii="Times New Roman" w:hAnsi="Times New Roman"/>
          <w:sz w:val="24"/>
          <w:szCs w:val="24"/>
          <w:lang w:val="en-US"/>
        </w:rPr>
        <w:t xml:space="preserve">echanism underlying such effects remain unclear, </w:t>
      </w:r>
      <w:r>
        <w:rPr>
          <w:rFonts w:ascii="Times New Roman" w:hAnsi="Times New Roman"/>
          <w:sz w:val="24"/>
          <w:szCs w:val="24"/>
          <w:lang w:val="en-US" w:eastAsia="it-IT"/>
        </w:rPr>
        <w:t xml:space="preserve">the focus of this work </w:t>
      </w:r>
      <w:r>
        <w:rPr>
          <w:rFonts w:ascii="Times New Roman" w:hAnsi="Times New Roman"/>
          <w:sz w:val="24"/>
          <w:szCs w:val="24"/>
          <w:lang w:val="en-US"/>
        </w:rPr>
        <w:t xml:space="preserve">was to investigate the antioxidant effects </w:t>
      </w:r>
      <w:r>
        <w:rPr>
          <w:rFonts w:ascii="Times New Roman" w:hAnsi="Times New Roman"/>
          <w:color w:val="000000"/>
          <w:sz w:val="24"/>
          <w:szCs w:val="24"/>
          <w:shd w:val="clear" w:color="auto" w:fill="FFFFFF"/>
          <w:lang w:val="en-US"/>
        </w:rPr>
        <w:t xml:space="preserve">of a by-products </w:t>
      </w:r>
      <w:proofErr w:type="gramStart"/>
      <w:r>
        <w:rPr>
          <w:rFonts w:ascii="Times New Roman" w:hAnsi="Times New Roman"/>
          <w:color w:val="000000"/>
          <w:sz w:val="24"/>
          <w:szCs w:val="24"/>
          <w:shd w:val="clear" w:color="auto" w:fill="FFFFFF"/>
          <w:lang w:val="en-US"/>
        </w:rPr>
        <w:t xml:space="preserve">natural </w:t>
      </w:r>
      <w:r>
        <w:rPr>
          <w:rFonts w:ascii="Times New Roman" w:hAnsi="Times New Roman"/>
          <w:sz w:val="24"/>
          <w:szCs w:val="24"/>
          <w:lang w:val="en-US"/>
        </w:rPr>
        <w:t xml:space="preserve"> Red</w:t>
      </w:r>
      <w:proofErr w:type="gramEnd"/>
      <w:r>
        <w:rPr>
          <w:rFonts w:ascii="Times New Roman" w:hAnsi="Times New Roman"/>
          <w:sz w:val="24"/>
          <w:szCs w:val="24"/>
          <w:lang w:val="en-US"/>
        </w:rPr>
        <w:t xml:space="preserve"> orange and Lemon Extract (RLE), rich in  anthocyanins and phenols, on OTA-induced nephrotoxicity. We have analyzed, on 24 adult Sprague Dawley rats, o</w:t>
      </w:r>
      <w:r>
        <w:rPr>
          <w:rFonts w:ascii="Times New Roman" w:hAnsi="Times New Roman"/>
          <w:color w:val="000000"/>
          <w:sz w:val="24"/>
          <w:szCs w:val="24"/>
          <w:lang w:val="en-US"/>
        </w:rPr>
        <w:t xml:space="preserve">xidative stress by the measurement of </w:t>
      </w:r>
      <w:r>
        <w:rPr>
          <w:rFonts w:ascii="Times New Roman" w:eastAsia="Times New Roman" w:hAnsi="Times New Roman"/>
          <w:sz w:val="24"/>
          <w:szCs w:val="24"/>
          <w:lang w:val="en-US" w:eastAsia="it-IT"/>
        </w:rPr>
        <w:t>m</w:t>
      </w:r>
      <w:r>
        <w:rPr>
          <w:rFonts w:ascii="Times New Roman" w:hAnsi="Times New Roman"/>
          <w:color w:val="000000"/>
          <w:sz w:val="24"/>
          <w:szCs w:val="24"/>
          <w:shd w:val="clear" w:color="auto" w:fill="FFFFFF"/>
          <w:lang w:val="en-US"/>
        </w:rPr>
        <w:t>alondialdehyde</w:t>
      </w:r>
      <w:r>
        <w:rPr>
          <w:rFonts w:ascii="Times New Roman" w:eastAsia="Times New Roman" w:hAnsi="Times New Roman"/>
          <w:sz w:val="24"/>
          <w:szCs w:val="24"/>
          <w:lang w:val="en-US" w:eastAsia="it-IT"/>
        </w:rPr>
        <w:t xml:space="preserve"> production and by SOD and </w:t>
      </w:r>
      <w:proofErr w:type="spellStart"/>
      <w:r>
        <w:rPr>
          <w:rFonts w:ascii="Times New Roman" w:eastAsia="Times New Roman" w:hAnsi="Times New Roman"/>
          <w:sz w:val="24"/>
          <w:szCs w:val="24"/>
          <w:lang w:val="en-US" w:eastAsia="it-IT"/>
        </w:rPr>
        <w:t>GPx</w:t>
      </w:r>
      <w:proofErr w:type="spellEnd"/>
      <w:r>
        <w:rPr>
          <w:rFonts w:ascii="Times New Roman" w:eastAsia="Times New Roman" w:hAnsi="Times New Roman"/>
          <w:sz w:val="24"/>
          <w:szCs w:val="24"/>
          <w:lang w:val="en-US" w:eastAsia="it-IT"/>
        </w:rPr>
        <w:t xml:space="preserve"> parameters by ELISA Kit</w:t>
      </w:r>
      <w:r>
        <w:rPr>
          <w:rFonts w:ascii="Times New Roman" w:hAnsi="Times New Roman"/>
          <w:color w:val="000000"/>
          <w:sz w:val="24"/>
          <w:szCs w:val="24"/>
          <w:lang w:val="en-US"/>
        </w:rPr>
        <w:t xml:space="preserve">; renal function by clearance of inulin and histological examination by </w:t>
      </w:r>
      <w:proofErr w:type="spellStart"/>
      <w:r>
        <w:rPr>
          <w:rFonts w:ascii="Times New Roman" w:hAnsi="Times New Roman"/>
          <w:color w:val="000000"/>
          <w:sz w:val="24"/>
          <w:szCs w:val="24"/>
        </w:rPr>
        <w:t>haematoxylin‐eosin</w:t>
      </w:r>
      <w:proofErr w:type="spellEnd"/>
      <w:r>
        <w:rPr>
          <w:rFonts w:ascii="Times New Roman" w:hAnsi="Times New Roman"/>
          <w:color w:val="000000"/>
          <w:sz w:val="24"/>
          <w:szCs w:val="24"/>
        </w:rPr>
        <w:t> </w:t>
      </w:r>
      <w:r>
        <w:rPr>
          <w:rFonts w:ascii="Times New Roman" w:hAnsi="Times New Roman"/>
          <w:color w:val="000000"/>
          <w:sz w:val="24"/>
          <w:szCs w:val="24"/>
          <w:lang w:val="en-US"/>
        </w:rPr>
        <w:t xml:space="preserve">and </w:t>
      </w:r>
      <w:proofErr w:type="spellStart"/>
      <w:r>
        <w:rPr>
          <w:rFonts w:ascii="Times New Roman" w:hAnsi="Times New Roman"/>
          <w:color w:val="000000"/>
          <w:sz w:val="24"/>
          <w:szCs w:val="24"/>
        </w:rPr>
        <w:t>Masson's</w:t>
      </w:r>
      <w:proofErr w:type="spellEnd"/>
      <w:r>
        <w:rPr>
          <w:rFonts w:ascii="Times New Roman" w:hAnsi="Times New Roman"/>
          <w:color w:val="000000"/>
          <w:sz w:val="24"/>
          <w:szCs w:val="24"/>
        </w:rPr>
        <w:t xml:space="preserve"> </w:t>
      </w:r>
      <w:proofErr w:type="spellStart"/>
      <w:r>
        <w:rPr>
          <w:rFonts w:ascii="Times New Roman" w:hAnsi="Times New Roman"/>
          <w:color w:val="000000"/>
          <w:sz w:val="24"/>
          <w:szCs w:val="24"/>
        </w:rPr>
        <w:t>trichrome</w:t>
      </w:r>
      <w:proofErr w:type="spellEnd"/>
      <w:r>
        <w:rPr>
          <w:rFonts w:ascii="Times New Roman" w:hAnsi="Times New Roman"/>
          <w:color w:val="000000"/>
          <w:sz w:val="24"/>
          <w:szCs w:val="24"/>
        </w:rPr>
        <w:t xml:space="preserve"> </w:t>
      </w:r>
      <w:proofErr w:type="spellStart"/>
      <w:r>
        <w:rPr>
          <w:rFonts w:ascii="Times New Roman" w:hAnsi="Times New Roman"/>
          <w:color w:val="000000"/>
          <w:sz w:val="24"/>
          <w:szCs w:val="24"/>
        </w:rPr>
        <w:t>staining</w:t>
      </w:r>
      <w:proofErr w:type="spellEnd"/>
      <w:r>
        <w:rPr>
          <w:rFonts w:ascii="Times New Roman" w:hAnsi="Times New Roman"/>
          <w:color w:val="000000"/>
          <w:sz w:val="24"/>
          <w:szCs w:val="24"/>
          <w:lang w:val="en-US"/>
        </w:rPr>
        <w:t>. Statistical analyses were performed using the GraphPad Software.</w:t>
      </w:r>
      <w:r>
        <w:rPr>
          <w:lang w:val="en-US"/>
        </w:rPr>
        <w:t xml:space="preserve"> </w:t>
      </w:r>
      <w:r>
        <w:rPr>
          <w:rFonts w:ascii="Times New Roman" w:hAnsi="Times New Roman"/>
          <w:sz w:val="24"/>
          <w:szCs w:val="24"/>
          <w:lang w:val="en-US"/>
        </w:rPr>
        <w:t>The rats</w:t>
      </w:r>
      <w:r>
        <w:rPr>
          <w:rFonts w:ascii="TimesNewRoman" w:eastAsia="Times New Roman" w:hAnsi="TimesNewRoman" w:cs="TimesNewRoman"/>
          <w:sz w:val="24"/>
          <w:szCs w:val="24"/>
          <w:lang w:val="en-US" w:eastAsia="it-IT"/>
        </w:rPr>
        <w:t xml:space="preserve"> were treated with OTA (</w:t>
      </w:r>
      <w:r>
        <w:rPr>
          <w:rFonts w:ascii="Times New Roman" w:hAnsi="Times New Roman"/>
          <w:bCs/>
          <w:iCs/>
          <w:color w:val="191919"/>
          <w:sz w:val="24"/>
          <w:szCs w:val="24"/>
          <w:shd w:val="clear" w:color="auto" w:fill="FFFFFF"/>
          <w:lang w:val="en-US"/>
        </w:rPr>
        <w:t xml:space="preserve">0,5 mg/Kg </w:t>
      </w:r>
      <w:proofErr w:type="spellStart"/>
      <w:r>
        <w:rPr>
          <w:rFonts w:ascii="Times New Roman" w:hAnsi="Times New Roman"/>
          <w:bCs/>
          <w:iCs/>
          <w:color w:val="191919"/>
          <w:sz w:val="24"/>
          <w:szCs w:val="24"/>
          <w:shd w:val="clear" w:color="auto" w:fill="FFFFFF"/>
          <w:lang w:val="en-US"/>
        </w:rPr>
        <w:t>b.w.</w:t>
      </w:r>
      <w:proofErr w:type="spellEnd"/>
      <w:r>
        <w:rPr>
          <w:rFonts w:ascii="TimesNewRoman" w:eastAsia="Times New Roman" w:hAnsi="TimesNewRoman" w:cs="TimesNewRoman"/>
          <w:sz w:val="24"/>
          <w:szCs w:val="24"/>
          <w:lang w:val="en-US" w:eastAsia="it-IT"/>
        </w:rPr>
        <w:t>)</w:t>
      </w:r>
      <w:r>
        <w:rPr>
          <w:lang w:val="en-US"/>
        </w:rPr>
        <w:t xml:space="preserve"> </w:t>
      </w:r>
      <w:r>
        <w:rPr>
          <w:rFonts w:ascii="TimesNewRoman" w:eastAsia="Times New Roman" w:hAnsi="TimesNewRoman" w:cs="TimesNewRoman"/>
          <w:sz w:val="24"/>
          <w:szCs w:val="24"/>
          <w:lang w:val="en-US" w:eastAsia="it-IT"/>
        </w:rPr>
        <w:t>and/or RLE (90</w:t>
      </w:r>
      <w:r>
        <w:rPr>
          <w:rFonts w:ascii="Times New Roman" w:hAnsi="Times New Roman"/>
          <w:sz w:val="24"/>
          <w:szCs w:val="24"/>
          <w:lang w:val="en-US"/>
        </w:rPr>
        <w:t xml:space="preserve"> mg/ kg </w:t>
      </w:r>
      <w:proofErr w:type="spellStart"/>
      <w:r>
        <w:rPr>
          <w:rFonts w:ascii="Times New Roman" w:hAnsi="Times New Roman"/>
          <w:sz w:val="24"/>
          <w:szCs w:val="24"/>
          <w:lang w:val="en-US"/>
        </w:rPr>
        <w:t>b.w.</w:t>
      </w:r>
      <w:proofErr w:type="spellEnd"/>
      <w:r>
        <w:rPr>
          <w:rFonts w:ascii="TimesNewRoman" w:eastAsia="Times New Roman" w:hAnsi="TimesNewRoman" w:cs="TimesNewRoman"/>
          <w:sz w:val="24"/>
          <w:szCs w:val="24"/>
          <w:lang w:val="en-US" w:eastAsia="it-IT"/>
        </w:rPr>
        <w:t>) by gavage for 14 days. We demonstrated that several</w:t>
      </w:r>
      <w:r>
        <w:rPr>
          <w:rFonts w:ascii="Times New Roman" w:eastAsia="Times New Roman" w:hAnsi="Times New Roman"/>
          <w:sz w:val="24"/>
          <w:szCs w:val="24"/>
          <w:lang w:val="en-US" w:eastAsia="it-IT"/>
        </w:rPr>
        <w:t xml:space="preserve"> oxidative stress indicators were altered in the kidneys (1.5±0.04 vs 2.0 ±0.06 </w:t>
      </w:r>
      <w:proofErr w:type="spellStart"/>
      <w:r>
        <w:rPr>
          <w:rFonts w:ascii="Times New Roman" w:eastAsia="Times New Roman" w:hAnsi="Times New Roman"/>
          <w:sz w:val="24"/>
          <w:szCs w:val="24"/>
          <w:lang w:val="en-US" w:eastAsia="it-IT"/>
        </w:rPr>
        <w:t>umol</w:t>
      </w:r>
      <w:proofErr w:type="spellEnd"/>
      <w:r>
        <w:rPr>
          <w:rFonts w:ascii="Times New Roman" w:eastAsia="Times New Roman" w:hAnsi="Times New Roman"/>
          <w:sz w:val="24"/>
          <w:szCs w:val="24"/>
          <w:lang w:val="en-US" w:eastAsia="it-IT"/>
        </w:rPr>
        <w:t xml:space="preserve">/l in </w:t>
      </w:r>
      <w:proofErr w:type="spellStart"/>
      <w:r>
        <w:rPr>
          <w:rFonts w:ascii="Times New Roman" w:eastAsia="Times New Roman" w:hAnsi="Times New Roman"/>
          <w:sz w:val="24"/>
          <w:szCs w:val="24"/>
          <w:lang w:val="en-US" w:eastAsia="it-IT"/>
        </w:rPr>
        <w:t>GPx</w:t>
      </w:r>
      <w:proofErr w:type="spellEnd"/>
      <w:r>
        <w:rPr>
          <w:rFonts w:ascii="Times New Roman" w:eastAsia="Times New Roman" w:hAnsi="Times New Roman"/>
          <w:sz w:val="24"/>
          <w:szCs w:val="24"/>
          <w:lang w:val="en-US" w:eastAsia="it-IT"/>
        </w:rPr>
        <w:t xml:space="preserve"> and 62.9% vs 100% on inhibition in SOD) </w:t>
      </w:r>
      <w:r>
        <w:rPr>
          <w:rFonts w:ascii="Times New Roman" w:hAnsi="Times New Roman"/>
          <w:sz w:val="24"/>
          <w:szCs w:val="24"/>
          <w:lang w:val="en-US"/>
        </w:rPr>
        <w:t xml:space="preserve">coupled to a strong reduction of Glomerular Filtration Rate (GFR) (0.51±0.8 vs 0.86±0.08 ml/min), to a body weight decrease (315±22 vs 364±19 gr) and an increase of serum creatinine (1.25±0.08 vs 0.92±0.09 mg/dL)  and urea levels in serum (22.8±5.25 vs 18.12±4.45 mg/dL). </w:t>
      </w:r>
      <w:r>
        <w:rPr>
          <w:rFonts w:ascii="Times New Roman" w:hAnsi="Times New Roman"/>
          <w:color w:val="000000"/>
          <w:sz w:val="24"/>
          <w:szCs w:val="24"/>
          <w:shd w:val="clear" w:color="auto" w:fill="FFFFFF"/>
          <w:lang w:val="en-US"/>
        </w:rPr>
        <w:t>Histopathological examinations revealed tubular and glomerular necrosis in OTA-treated groups. Moreover, OTA treatment induced a more severe interstitial ﬁbrosis compared to control group. Co-treatment of RLE and OTA was associated with a partially restore of ﬁbrosis and tubular and glomerular necrosis compared to the OTA group.</w:t>
      </w:r>
      <w:r>
        <w:rPr>
          <w:rFonts w:ascii="Times New Roman" w:eastAsia="Times New Roman" w:hAnsi="Times New Roman"/>
          <w:sz w:val="24"/>
          <w:szCs w:val="24"/>
          <w:lang w:val="en-US" w:eastAsia="it-IT"/>
        </w:rPr>
        <w:t xml:space="preserve"> Treatment with RLE</w:t>
      </w:r>
      <w:r>
        <w:rPr>
          <w:rFonts w:ascii="Times New Roman" w:hAnsi="Times New Roman"/>
          <w:color w:val="000000"/>
          <w:sz w:val="24"/>
          <w:szCs w:val="24"/>
          <w:lang w:val="en-US"/>
        </w:rPr>
        <w:t xml:space="preserve"> restored the body weight, normalized the</w:t>
      </w:r>
      <w:r>
        <w:rPr>
          <w:rFonts w:ascii="Times New Roman" w:hAnsi="Times New Roman"/>
          <w:color w:val="000000"/>
          <w:sz w:val="24"/>
          <w:szCs w:val="24"/>
          <w:lang w:val="en-GB"/>
        </w:rPr>
        <w:t xml:space="preserve"> reactive oxygen species </w:t>
      </w:r>
      <w:r>
        <w:rPr>
          <w:rFonts w:ascii="Times New Roman" w:hAnsi="Times New Roman"/>
          <w:color w:val="000000"/>
          <w:sz w:val="24"/>
          <w:szCs w:val="24"/>
          <w:lang w:val="en-US"/>
        </w:rPr>
        <w:t>and</w:t>
      </w:r>
      <w:r>
        <w:rPr>
          <w:rFonts w:ascii="Times New Roman" w:hAnsi="Times New Roman"/>
          <w:sz w:val="24"/>
          <w:szCs w:val="24"/>
          <w:lang w:val="en-US"/>
        </w:rPr>
        <w:t xml:space="preserve"> prevented the glomerular hyperfiltration</w:t>
      </w:r>
      <w:r>
        <w:rPr>
          <w:rFonts w:ascii="Times New Roman" w:hAnsi="Times New Roman"/>
          <w:color w:val="000000"/>
          <w:sz w:val="24"/>
          <w:szCs w:val="24"/>
          <w:lang w:val="en-US"/>
        </w:rPr>
        <w:t>.</w:t>
      </w:r>
      <w:r>
        <w:rPr>
          <w:rFonts w:ascii="Times New Roman" w:eastAsia="Times New Roman" w:hAnsi="Times New Roman"/>
          <w:sz w:val="24"/>
          <w:szCs w:val="24"/>
          <w:lang w:val="en-US" w:eastAsia="it-IT"/>
        </w:rPr>
        <w:t xml:space="preserve"> In conclusion, this study demonstrated that there is a strong relation between oxidative stress and OTA-induced renal injury and that RLE</w:t>
      </w:r>
      <w:r>
        <w:rPr>
          <w:rFonts w:ascii="Times New Roman" w:hAnsi="Times New Roman"/>
          <w:color w:val="000000"/>
          <w:sz w:val="24"/>
          <w:szCs w:val="24"/>
          <w:lang w:val="en-US"/>
        </w:rPr>
        <w:t xml:space="preserve"> prevents this </w:t>
      </w:r>
      <w:r>
        <w:rPr>
          <w:rFonts w:ascii="Times New Roman" w:eastAsia="Times New Roman" w:hAnsi="Times New Roman"/>
          <w:sz w:val="24"/>
          <w:szCs w:val="24"/>
          <w:lang w:val="en-US" w:eastAsia="it-IT"/>
        </w:rPr>
        <w:t>renal injury.</w:t>
      </w:r>
    </w:p>
    <w:p w14:paraId="7FD4BD3F" w14:textId="77777777" w:rsidR="002D6793" w:rsidRDefault="002D6793" w:rsidP="002D6793">
      <w:pPr>
        <w:spacing w:after="0" w:line="240" w:lineRule="auto"/>
        <w:jc w:val="both"/>
        <w:rPr>
          <w:lang w:val="en-US"/>
        </w:rPr>
      </w:pPr>
    </w:p>
    <w:p w14:paraId="1F6D1E96" w14:textId="77777777" w:rsidR="002D6793" w:rsidRDefault="002D6793" w:rsidP="002D6793">
      <w:pPr>
        <w:pStyle w:val="Paragrafoelenco"/>
        <w:ind w:left="0"/>
        <w:jc w:val="both"/>
        <w:rPr>
          <w:lang w:val="en-US"/>
        </w:rPr>
      </w:pPr>
      <w:r>
        <w:rPr>
          <w:rFonts w:ascii="Times New Roman" w:hAnsi="Times New Roman"/>
          <w:sz w:val="24"/>
          <w:szCs w:val="24"/>
          <w:lang w:val="en-US"/>
        </w:rPr>
        <w:t xml:space="preserve">[1] </w:t>
      </w:r>
      <w:proofErr w:type="spellStart"/>
      <w:proofErr w:type="gramStart"/>
      <w:r>
        <w:rPr>
          <w:rFonts w:ascii="Times New Roman" w:hAnsi="Times New Roman"/>
          <w:sz w:val="24"/>
          <w:szCs w:val="24"/>
          <w:lang w:val="en-US"/>
        </w:rPr>
        <w:t>Covarelli</w:t>
      </w:r>
      <w:proofErr w:type="spellEnd"/>
      <w:r>
        <w:rPr>
          <w:rFonts w:ascii="Times New Roman" w:hAnsi="Times New Roman"/>
          <w:sz w:val="24"/>
          <w:szCs w:val="24"/>
          <w:lang w:val="en-US"/>
        </w:rPr>
        <w:t xml:space="preserve">  et al.</w:t>
      </w:r>
      <w:proofErr w:type="gramEnd"/>
      <w:r>
        <w:rPr>
          <w:rFonts w:ascii="Times New Roman" w:hAnsi="Times New Roman"/>
          <w:sz w:val="24"/>
          <w:szCs w:val="24"/>
          <w:lang w:val="en-US"/>
        </w:rPr>
        <w:t xml:space="preserve"> A review on the occurrence and control of </w:t>
      </w:r>
      <w:proofErr w:type="spellStart"/>
      <w:r>
        <w:rPr>
          <w:rFonts w:ascii="Times New Roman" w:hAnsi="Times New Roman"/>
          <w:sz w:val="24"/>
          <w:szCs w:val="24"/>
          <w:lang w:val="en-US"/>
        </w:rPr>
        <w:t>ochratoxigenic</w:t>
      </w:r>
      <w:proofErr w:type="spellEnd"/>
      <w:r>
        <w:rPr>
          <w:rFonts w:ascii="Times New Roman" w:hAnsi="Times New Roman"/>
          <w:sz w:val="24"/>
          <w:szCs w:val="24"/>
          <w:lang w:val="en-US"/>
        </w:rPr>
        <w:t xml:space="preserve"> fungal species and ochratoxin a in dehydrated grapes, non-fortified dessert wines and dried vine fruit in the </w:t>
      </w:r>
      <w:proofErr w:type="spellStart"/>
      <w:r>
        <w:rPr>
          <w:rFonts w:ascii="Times New Roman" w:hAnsi="Times New Roman"/>
          <w:sz w:val="24"/>
          <w:szCs w:val="24"/>
          <w:lang w:val="en-US"/>
        </w:rPr>
        <w:t>mediterranean</w:t>
      </w:r>
      <w:proofErr w:type="spellEnd"/>
      <w:r>
        <w:rPr>
          <w:rFonts w:ascii="Times New Roman" w:hAnsi="Times New Roman"/>
          <w:sz w:val="24"/>
          <w:szCs w:val="24"/>
          <w:lang w:val="en-US"/>
        </w:rPr>
        <w:t xml:space="preserve"> area, Food Control, 21:347–356, 2012. [2] Duarte et al. Ochratoxin A non-conventional exposure sources—A review, </w:t>
      </w:r>
      <w:proofErr w:type="spellStart"/>
      <w:r>
        <w:rPr>
          <w:rFonts w:ascii="Times New Roman" w:hAnsi="Times New Roman"/>
          <w:sz w:val="24"/>
          <w:szCs w:val="24"/>
          <w:lang w:val="en-US"/>
        </w:rPr>
        <w:t>Microchem</w:t>
      </w:r>
      <w:proofErr w:type="spellEnd"/>
      <w:r>
        <w:rPr>
          <w:rFonts w:ascii="Times New Roman" w:hAnsi="Times New Roman"/>
          <w:sz w:val="24"/>
          <w:szCs w:val="24"/>
          <w:lang w:val="en-US"/>
        </w:rPr>
        <w:t xml:space="preserve">. J, 93:115–120, 2009. [3] </w:t>
      </w:r>
      <w:proofErr w:type="spellStart"/>
      <w:r>
        <w:rPr>
          <w:rFonts w:ascii="Times New Roman" w:hAnsi="Times New Roman"/>
          <w:sz w:val="24"/>
          <w:szCs w:val="24"/>
          <w:lang w:val="en-US"/>
        </w:rPr>
        <w:t>Pfohl-Leszkowicz</w:t>
      </w:r>
      <w:proofErr w:type="spellEnd"/>
      <w:r>
        <w:rPr>
          <w:rFonts w:ascii="Times New Roman" w:hAnsi="Times New Roman"/>
          <w:sz w:val="24"/>
          <w:szCs w:val="24"/>
          <w:lang w:val="en-US"/>
        </w:rPr>
        <w:t xml:space="preserve"> et al. Balkan endemic nephropathy and associated urinary tract </w:t>
      </w:r>
      <w:proofErr w:type="spellStart"/>
      <w:r>
        <w:rPr>
          <w:rFonts w:ascii="Times New Roman" w:hAnsi="Times New Roman"/>
          <w:sz w:val="24"/>
          <w:szCs w:val="24"/>
          <w:lang w:val="en-US"/>
        </w:rPr>
        <w:t>tumours</w:t>
      </w:r>
      <w:proofErr w:type="spellEnd"/>
      <w:r>
        <w:rPr>
          <w:rFonts w:ascii="Times New Roman" w:hAnsi="Times New Roman"/>
          <w:sz w:val="24"/>
          <w:szCs w:val="24"/>
          <w:lang w:val="en-US"/>
        </w:rPr>
        <w:t xml:space="preserve">: a review on </w:t>
      </w:r>
      <w:proofErr w:type="spellStart"/>
      <w:r>
        <w:rPr>
          <w:rFonts w:ascii="Times New Roman" w:hAnsi="Times New Roman"/>
          <w:sz w:val="24"/>
          <w:szCs w:val="24"/>
          <w:lang w:val="en-US"/>
        </w:rPr>
        <w:t>aetiological</w:t>
      </w:r>
      <w:proofErr w:type="spellEnd"/>
      <w:r>
        <w:rPr>
          <w:rFonts w:ascii="Times New Roman" w:hAnsi="Times New Roman"/>
          <w:sz w:val="24"/>
          <w:szCs w:val="24"/>
          <w:lang w:val="en-US"/>
        </w:rPr>
        <w:t xml:space="preserve"> causes and the potential role of mycotoxins, Mol. </w:t>
      </w:r>
      <w:proofErr w:type="spellStart"/>
      <w:r>
        <w:rPr>
          <w:rFonts w:ascii="Times New Roman" w:hAnsi="Times New Roman"/>
          <w:sz w:val="24"/>
          <w:szCs w:val="24"/>
          <w:lang w:val="en-US"/>
        </w:rPr>
        <w:t>Nutr</w:t>
      </w:r>
      <w:proofErr w:type="spellEnd"/>
      <w:r>
        <w:rPr>
          <w:rFonts w:ascii="Times New Roman" w:hAnsi="Times New Roman"/>
          <w:sz w:val="24"/>
          <w:szCs w:val="24"/>
          <w:lang w:val="en-US"/>
        </w:rPr>
        <w:t xml:space="preserve">. Food Res, 51:1192–1192, 2007. </w:t>
      </w:r>
    </w:p>
    <w:p w14:paraId="383B2E58" w14:textId="77777777" w:rsidR="00557FDE" w:rsidRDefault="00557FDE"/>
    <w:sectPr w:rsidR="00557FDE" w:rsidSect="00582F5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A7E"/>
    <w:rsid w:val="00187D60"/>
    <w:rsid w:val="002D6793"/>
    <w:rsid w:val="00401BF3"/>
    <w:rsid w:val="00557FDE"/>
    <w:rsid w:val="005701E2"/>
    <w:rsid w:val="006857C3"/>
    <w:rsid w:val="00877E1F"/>
    <w:rsid w:val="00882DB0"/>
    <w:rsid w:val="00C43A7E"/>
    <w:rsid w:val="00C5607F"/>
    <w:rsid w:val="00EE17ED"/>
    <w:rsid w:val="00FE65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EEC1A"/>
  <w15:chartTrackingRefBased/>
  <w15:docId w15:val="{DF5F2CD4-3889-4225-B9CD-09F2BA858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43A7E"/>
    <w:pPr>
      <w:spacing w:after="200" w:line="276" w:lineRule="auto"/>
    </w:pPr>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43A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1380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472</Words>
  <Characters>2693</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saradamiano81@gmail.com</dc:creator>
  <cp:keywords/>
  <dc:description/>
  <cp:lastModifiedBy>saradamiano81@gmail.com</cp:lastModifiedBy>
  <cp:revision>2</cp:revision>
  <dcterms:created xsi:type="dcterms:W3CDTF">2019-06-11T12:14:00Z</dcterms:created>
  <dcterms:modified xsi:type="dcterms:W3CDTF">2019-06-11T12:14:00Z</dcterms:modified>
</cp:coreProperties>
</file>