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A59" w:rsidRPr="005A4656" w:rsidRDefault="00006A59" w:rsidP="00006A59">
      <w:pPr>
        <w:spacing w:after="0" w:line="360" w:lineRule="auto"/>
        <w:jc w:val="both"/>
        <w:rPr>
          <w:rFonts w:ascii="Times New Roman" w:hAnsi="Times New Roman" w:cs="Times New Roman"/>
          <w:b/>
          <w:sz w:val="26"/>
          <w:szCs w:val="26"/>
        </w:rPr>
      </w:pPr>
      <w:bookmarkStart w:id="0" w:name="_GoBack"/>
      <w:bookmarkEnd w:id="0"/>
      <w:r w:rsidRPr="005A4656">
        <w:rPr>
          <w:rFonts w:ascii="Times New Roman" w:hAnsi="Times New Roman" w:cs="Times New Roman"/>
          <w:b/>
          <w:sz w:val="26"/>
          <w:szCs w:val="26"/>
        </w:rPr>
        <w:t>L’Adunanza Plenaria del Consiglio di Stato alle prese con l’interdittiva prefettizia antimafia</w:t>
      </w:r>
      <w:r w:rsidR="00A872AC">
        <w:rPr>
          <w:rFonts w:ascii="Times New Roman" w:hAnsi="Times New Roman" w:cs="Times New Roman"/>
          <w:b/>
          <w:sz w:val="26"/>
          <w:szCs w:val="26"/>
        </w:rPr>
        <w:t xml:space="preserve"> e la teoria dell’interpretazione</w:t>
      </w:r>
      <w:r w:rsidRPr="005A4656">
        <w:rPr>
          <w:rFonts w:ascii="Times New Roman" w:hAnsi="Times New Roman" w:cs="Times New Roman"/>
          <w:b/>
          <w:sz w:val="26"/>
          <w:szCs w:val="26"/>
        </w:rPr>
        <w:t xml:space="preserve">.  </w:t>
      </w:r>
    </w:p>
    <w:p w:rsidR="00C90A1E" w:rsidRPr="005A4656" w:rsidRDefault="00006A59" w:rsidP="00006A59">
      <w:pPr>
        <w:spacing w:after="0" w:line="360" w:lineRule="auto"/>
        <w:jc w:val="both"/>
        <w:rPr>
          <w:rFonts w:ascii="Times New Roman" w:hAnsi="Times New Roman" w:cs="Times New Roman"/>
          <w:b/>
          <w:sz w:val="26"/>
          <w:szCs w:val="26"/>
        </w:rPr>
      </w:pPr>
      <w:r w:rsidRPr="005A4656">
        <w:rPr>
          <w:rFonts w:ascii="Times New Roman" w:hAnsi="Times New Roman" w:cs="Times New Roman"/>
          <w:b/>
          <w:sz w:val="26"/>
          <w:szCs w:val="26"/>
        </w:rPr>
        <w:t xml:space="preserve">1. </w:t>
      </w:r>
      <w:r w:rsidR="00C90A1E" w:rsidRPr="005A4656">
        <w:rPr>
          <w:rFonts w:ascii="Times New Roman" w:hAnsi="Times New Roman" w:cs="Times New Roman"/>
          <w:sz w:val="26"/>
          <w:szCs w:val="26"/>
        </w:rPr>
        <w:t>Si sostiene da più parti che quando i poteri dello Stato non funzionano</w:t>
      </w:r>
      <w:r w:rsidRPr="005A4656">
        <w:rPr>
          <w:rFonts w:ascii="Times New Roman" w:hAnsi="Times New Roman" w:cs="Times New Roman"/>
          <w:sz w:val="26"/>
          <w:szCs w:val="26"/>
        </w:rPr>
        <w:t xml:space="preserve"> o, comunque, non funzionano a dovere,</w:t>
      </w:r>
      <w:r w:rsidR="00C90A1E" w:rsidRPr="005A4656">
        <w:rPr>
          <w:rFonts w:ascii="Times New Roman" w:hAnsi="Times New Roman" w:cs="Times New Roman"/>
          <w:sz w:val="26"/>
          <w:szCs w:val="26"/>
        </w:rPr>
        <w:t xml:space="preserve"> e si aprono spazi, per una sorta di legge della fisica</w:t>
      </w:r>
      <w:r w:rsidR="000233FF" w:rsidRPr="005A4656">
        <w:rPr>
          <w:rFonts w:ascii="Times New Roman" w:hAnsi="Times New Roman" w:cs="Times New Roman"/>
          <w:sz w:val="26"/>
          <w:szCs w:val="26"/>
        </w:rPr>
        <w:t xml:space="preserve"> valida anche nel campo del diritto pubblico</w:t>
      </w:r>
      <w:r w:rsidR="00C90A1E" w:rsidRPr="005A4656">
        <w:rPr>
          <w:rFonts w:ascii="Times New Roman" w:hAnsi="Times New Roman" w:cs="Times New Roman"/>
          <w:sz w:val="26"/>
          <w:szCs w:val="26"/>
        </w:rPr>
        <w:t xml:space="preserve">, gli altri poteri profittano e tendono ad occupare </w:t>
      </w:r>
      <w:r w:rsidRPr="005A4656">
        <w:rPr>
          <w:rFonts w:ascii="Times New Roman" w:hAnsi="Times New Roman" w:cs="Times New Roman"/>
          <w:sz w:val="26"/>
          <w:szCs w:val="26"/>
        </w:rPr>
        <w:t>ta</w:t>
      </w:r>
      <w:r w:rsidR="00C90A1E" w:rsidRPr="005A4656">
        <w:rPr>
          <w:rFonts w:ascii="Times New Roman" w:hAnsi="Times New Roman" w:cs="Times New Roman"/>
          <w:sz w:val="26"/>
          <w:szCs w:val="26"/>
        </w:rPr>
        <w:t xml:space="preserve">li spazi lasciati vuoti dal mancato esercizio del potere </w:t>
      </w:r>
      <w:r w:rsidR="000233FF" w:rsidRPr="005A4656">
        <w:rPr>
          <w:rFonts w:ascii="Times New Roman" w:hAnsi="Times New Roman" w:cs="Times New Roman"/>
          <w:sz w:val="26"/>
          <w:szCs w:val="26"/>
        </w:rPr>
        <w:t>inerte o incapace</w:t>
      </w:r>
      <w:r w:rsidR="00C90A1E" w:rsidRPr="005A4656">
        <w:rPr>
          <w:rFonts w:ascii="Times New Roman" w:hAnsi="Times New Roman" w:cs="Times New Roman"/>
          <w:sz w:val="26"/>
          <w:szCs w:val="26"/>
        </w:rPr>
        <w:t>.</w:t>
      </w:r>
    </w:p>
    <w:p w:rsidR="00FB5AAC" w:rsidRPr="005A4656" w:rsidRDefault="00C90A1E"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Questo fenomeno è caratteristico d</w:t>
      </w:r>
      <w:r w:rsidR="00006A59" w:rsidRPr="005A4656">
        <w:rPr>
          <w:rFonts w:ascii="Times New Roman" w:hAnsi="Times New Roman" w:cs="Times New Roman"/>
          <w:sz w:val="26"/>
          <w:szCs w:val="26"/>
        </w:rPr>
        <w:t>i talune</w:t>
      </w:r>
      <w:r w:rsidRPr="005A4656">
        <w:rPr>
          <w:rFonts w:ascii="Times New Roman" w:hAnsi="Times New Roman" w:cs="Times New Roman"/>
          <w:sz w:val="26"/>
          <w:szCs w:val="26"/>
        </w:rPr>
        <w:t xml:space="preserve"> democrazie occidentali </w:t>
      </w:r>
      <w:r w:rsidR="00006A59" w:rsidRPr="005A4656">
        <w:rPr>
          <w:rFonts w:ascii="Times New Roman" w:hAnsi="Times New Roman" w:cs="Times New Roman"/>
          <w:sz w:val="26"/>
          <w:szCs w:val="26"/>
        </w:rPr>
        <w:t>le quali attualmente, poiché</w:t>
      </w:r>
      <w:r w:rsidR="000233FF" w:rsidRPr="005A4656">
        <w:rPr>
          <w:rFonts w:ascii="Times New Roman" w:hAnsi="Times New Roman" w:cs="Times New Roman"/>
          <w:sz w:val="26"/>
          <w:szCs w:val="26"/>
        </w:rPr>
        <w:t xml:space="preserve"> </w:t>
      </w:r>
      <w:r w:rsidRPr="005A4656">
        <w:rPr>
          <w:rFonts w:ascii="Times New Roman" w:hAnsi="Times New Roman" w:cs="Times New Roman"/>
          <w:sz w:val="26"/>
          <w:szCs w:val="26"/>
        </w:rPr>
        <w:t>attraversano momenti di crisi istituzionale, vedono</w:t>
      </w:r>
      <w:r w:rsidR="000233FF" w:rsidRPr="005A4656">
        <w:rPr>
          <w:rFonts w:ascii="Times New Roman" w:hAnsi="Times New Roman" w:cs="Times New Roman"/>
          <w:sz w:val="26"/>
          <w:szCs w:val="26"/>
        </w:rPr>
        <w:t xml:space="preserve"> (e tollerano</w:t>
      </w:r>
      <w:r w:rsidR="00006A59" w:rsidRPr="005A4656">
        <w:rPr>
          <w:rFonts w:ascii="Times New Roman" w:hAnsi="Times New Roman" w:cs="Times New Roman"/>
          <w:sz w:val="26"/>
          <w:szCs w:val="26"/>
        </w:rPr>
        <w:t>, bene o male è da vedere</w:t>
      </w:r>
      <w:r w:rsidR="000233FF" w:rsidRPr="005A4656">
        <w:rPr>
          <w:rFonts w:ascii="Times New Roman" w:hAnsi="Times New Roman" w:cs="Times New Roman"/>
          <w:sz w:val="26"/>
          <w:szCs w:val="26"/>
        </w:rPr>
        <w:t>)</w:t>
      </w:r>
      <w:r w:rsidRPr="005A4656">
        <w:rPr>
          <w:rFonts w:ascii="Times New Roman" w:hAnsi="Times New Roman" w:cs="Times New Roman"/>
          <w:sz w:val="26"/>
          <w:szCs w:val="26"/>
        </w:rPr>
        <w:t xml:space="preserve"> </w:t>
      </w:r>
      <w:r w:rsidR="000233FF" w:rsidRPr="005A4656">
        <w:rPr>
          <w:rFonts w:ascii="Times New Roman" w:hAnsi="Times New Roman" w:cs="Times New Roman"/>
          <w:sz w:val="26"/>
          <w:szCs w:val="26"/>
        </w:rPr>
        <w:t xml:space="preserve">sovente </w:t>
      </w:r>
      <w:r w:rsidRPr="005A4656">
        <w:rPr>
          <w:rFonts w:ascii="Times New Roman" w:hAnsi="Times New Roman" w:cs="Times New Roman"/>
          <w:sz w:val="26"/>
          <w:szCs w:val="26"/>
        </w:rPr>
        <w:t>l</w:t>
      </w:r>
      <w:r w:rsidR="000233FF" w:rsidRPr="005A4656">
        <w:rPr>
          <w:rFonts w:ascii="Times New Roman" w:hAnsi="Times New Roman" w:cs="Times New Roman"/>
          <w:sz w:val="26"/>
          <w:szCs w:val="26"/>
        </w:rPr>
        <w:t>’</w:t>
      </w:r>
      <w:r w:rsidRPr="005A4656">
        <w:rPr>
          <w:rFonts w:ascii="Times New Roman" w:hAnsi="Times New Roman" w:cs="Times New Roman"/>
          <w:sz w:val="26"/>
          <w:szCs w:val="26"/>
        </w:rPr>
        <w:t>invasione dei</w:t>
      </w:r>
      <w:r w:rsidR="00006A59" w:rsidRPr="005A4656">
        <w:rPr>
          <w:rFonts w:ascii="Times New Roman" w:hAnsi="Times New Roman" w:cs="Times New Roman"/>
          <w:sz w:val="26"/>
          <w:szCs w:val="26"/>
        </w:rPr>
        <w:t xml:space="preserve"> cd.</w:t>
      </w:r>
      <w:r w:rsidRPr="005A4656">
        <w:rPr>
          <w:rFonts w:ascii="Times New Roman" w:hAnsi="Times New Roman" w:cs="Times New Roman"/>
          <w:sz w:val="26"/>
          <w:szCs w:val="26"/>
        </w:rPr>
        <w:t xml:space="preserve"> limiti esterni non solo del potere giudiziario</w:t>
      </w:r>
      <w:r w:rsidR="000233FF" w:rsidRPr="005A4656">
        <w:rPr>
          <w:rFonts w:ascii="Times New Roman" w:hAnsi="Times New Roman" w:cs="Times New Roman"/>
          <w:sz w:val="26"/>
          <w:szCs w:val="26"/>
        </w:rPr>
        <w:t xml:space="preserve"> nei confronti del potere legislativo e di quello amministrativo</w:t>
      </w:r>
      <w:r w:rsidRPr="005A4656">
        <w:rPr>
          <w:rFonts w:ascii="Times New Roman" w:hAnsi="Times New Roman" w:cs="Times New Roman"/>
          <w:sz w:val="26"/>
          <w:szCs w:val="26"/>
        </w:rPr>
        <w:t>, ma anche del potere legislativo e di quello amministrativo</w:t>
      </w:r>
      <w:r w:rsidR="000233FF" w:rsidRPr="005A4656">
        <w:rPr>
          <w:rFonts w:ascii="Times New Roman" w:hAnsi="Times New Roman" w:cs="Times New Roman"/>
          <w:sz w:val="26"/>
          <w:szCs w:val="26"/>
        </w:rPr>
        <w:t xml:space="preserve"> nei confronti degli altri poteri</w:t>
      </w:r>
      <w:r w:rsidRPr="005A4656">
        <w:rPr>
          <w:rFonts w:ascii="Times New Roman" w:hAnsi="Times New Roman" w:cs="Times New Roman"/>
          <w:sz w:val="26"/>
          <w:szCs w:val="26"/>
        </w:rPr>
        <w:t xml:space="preserve">. </w:t>
      </w:r>
      <w:r w:rsidR="00006A59" w:rsidRPr="005A4656">
        <w:rPr>
          <w:rFonts w:ascii="Times New Roman" w:hAnsi="Times New Roman" w:cs="Times New Roman"/>
          <w:sz w:val="26"/>
          <w:szCs w:val="26"/>
        </w:rPr>
        <w:t>Questi conflitti di attribuzione si verificano a</w:t>
      </w:r>
      <w:r w:rsidRPr="005A4656">
        <w:rPr>
          <w:rFonts w:ascii="Times New Roman" w:hAnsi="Times New Roman" w:cs="Times New Roman"/>
          <w:sz w:val="26"/>
          <w:szCs w:val="26"/>
        </w:rPr>
        <w:t>nche all’interno del potere giudiziario considerato nella sua unitarietà, pur con le sue</w:t>
      </w:r>
      <w:r w:rsidR="00006A59" w:rsidRPr="005A4656">
        <w:rPr>
          <w:rFonts w:ascii="Times New Roman" w:hAnsi="Times New Roman" w:cs="Times New Roman"/>
          <w:sz w:val="26"/>
          <w:szCs w:val="26"/>
        </w:rPr>
        <w:t xml:space="preserve"> varie</w:t>
      </w:r>
      <w:r w:rsidRPr="005A4656">
        <w:rPr>
          <w:rFonts w:ascii="Times New Roman" w:hAnsi="Times New Roman" w:cs="Times New Roman"/>
          <w:sz w:val="26"/>
          <w:szCs w:val="26"/>
        </w:rPr>
        <w:t xml:space="preserve"> articolazioni, </w:t>
      </w:r>
      <w:r w:rsidR="00006A59" w:rsidRPr="005A4656">
        <w:rPr>
          <w:rFonts w:ascii="Times New Roman" w:hAnsi="Times New Roman" w:cs="Times New Roman"/>
          <w:sz w:val="26"/>
          <w:szCs w:val="26"/>
        </w:rPr>
        <w:t xml:space="preserve">provocando </w:t>
      </w:r>
      <w:r w:rsidRPr="005A4656">
        <w:rPr>
          <w:rFonts w:ascii="Times New Roman" w:hAnsi="Times New Roman" w:cs="Times New Roman"/>
          <w:sz w:val="26"/>
          <w:szCs w:val="26"/>
        </w:rPr>
        <w:t xml:space="preserve">con grande frequenza </w:t>
      </w:r>
      <w:r w:rsidR="000233FF" w:rsidRPr="005A4656">
        <w:rPr>
          <w:rFonts w:ascii="Times New Roman" w:hAnsi="Times New Roman" w:cs="Times New Roman"/>
          <w:sz w:val="26"/>
          <w:szCs w:val="26"/>
        </w:rPr>
        <w:t>esondazioni</w:t>
      </w:r>
      <w:r w:rsidRPr="005A4656">
        <w:rPr>
          <w:rFonts w:ascii="Times New Roman" w:hAnsi="Times New Roman" w:cs="Times New Roman"/>
          <w:sz w:val="26"/>
          <w:szCs w:val="26"/>
        </w:rPr>
        <w:t xml:space="preserve"> (che taluno definisce ‘</w:t>
      </w:r>
      <w:r w:rsidR="00A872AC">
        <w:rPr>
          <w:rFonts w:ascii="Times New Roman" w:hAnsi="Times New Roman" w:cs="Times New Roman"/>
          <w:sz w:val="26"/>
          <w:szCs w:val="26"/>
        </w:rPr>
        <w:t>straripa</w:t>
      </w:r>
      <w:r w:rsidRPr="005A4656">
        <w:rPr>
          <w:rFonts w:ascii="Times New Roman" w:hAnsi="Times New Roman" w:cs="Times New Roman"/>
          <w:sz w:val="26"/>
          <w:szCs w:val="26"/>
        </w:rPr>
        <w:t xml:space="preserve">mento’) di prerogative proprie </w:t>
      </w:r>
      <w:r w:rsidR="000233FF" w:rsidRPr="005A4656">
        <w:rPr>
          <w:rFonts w:ascii="Times New Roman" w:hAnsi="Times New Roman" w:cs="Times New Roman"/>
          <w:sz w:val="26"/>
          <w:szCs w:val="26"/>
        </w:rPr>
        <w:t xml:space="preserve">di giudici ordinari rispetto a giudici speciali e viceversa; </w:t>
      </w:r>
      <w:r w:rsidRPr="005A4656">
        <w:rPr>
          <w:rFonts w:ascii="Times New Roman" w:hAnsi="Times New Roman" w:cs="Times New Roman"/>
          <w:sz w:val="26"/>
          <w:szCs w:val="26"/>
        </w:rPr>
        <w:t xml:space="preserve">i rimedi </w:t>
      </w:r>
      <w:r w:rsidR="00006A59" w:rsidRPr="005A4656">
        <w:rPr>
          <w:rFonts w:ascii="Times New Roman" w:hAnsi="Times New Roman" w:cs="Times New Roman"/>
          <w:sz w:val="26"/>
          <w:szCs w:val="26"/>
        </w:rPr>
        <w:t>esistenti o prospettati</w:t>
      </w:r>
      <w:r w:rsidRPr="005A4656">
        <w:rPr>
          <w:rFonts w:ascii="Times New Roman" w:hAnsi="Times New Roman" w:cs="Times New Roman"/>
          <w:sz w:val="26"/>
          <w:szCs w:val="26"/>
        </w:rPr>
        <w:t xml:space="preserve"> (protocolli di intesa ed altro, come</w:t>
      </w:r>
      <w:r w:rsidR="000233FF" w:rsidRPr="005A4656">
        <w:rPr>
          <w:rFonts w:ascii="Times New Roman" w:hAnsi="Times New Roman" w:cs="Times New Roman"/>
          <w:sz w:val="26"/>
          <w:szCs w:val="26"/>
        </w:rPr>
        <w:t xml:space="preserve"> l’auspicato</w:t>
      </w:r>
      <w:r w:rsidRPr="005A4656">
        <w:rPr>
          <w:rFonts w:ascii="Times New Roman" w:hAnsi="Times New Roman" w:cs="Times New Roman"/>
          <w:sz w:val="26"/>
          <w:szCs w:val="26"/>
        </w:rPr>
        <w:t xml:space="preserve"> Tribunale dei conflitti</w:t>
      </w:r>
      <w:r w:rsidR="00006A59" w:rsidRPr="005A4656">
        <w:rPr>
          <w:rFonts w:ascii="Times New Roman" w:hAnsi="Times New Roman" w:cs="Times New Roman"/>
          <w:sz w:val="26"/>
          <w:szCs w:val="26"/>
        </w:rPr>
        <w:t>)</w:t>
      </w:r>
      <w:r w:rsidR="000233FF" w:rsidRPr="005A4656">
        <w:rPr>
          <w:rFonts w:ascii="Times New Roman" w:hAnsi="Times New Roman" w:cs="Times New Roman"/>
          <w:sz w:val="26"/>
          <w:szCs w:val="26"/>
        </w:rPr>
        <w:t>,</w:t>
      </w:r>
      <w:r w:rsidRPr="005A4656">
        <w:rPr>
          <w:rFonts w:ascii="Times New Roman" w:hAnsi="Times New Roman" w:cs="Times New Roman"/>
          <w:sz w:val="26"/>
          <w:szCs w:val="26"/>
        </w:rPr>
        <w:t xml:space="preserve"> in disparte la general</w:t>
      </w:r>
      <w:r w:rsidR="000233FF" w:rsidRPr="005A4656">
        <w:rPr>
          <w:rFonts w:ascii="Times New Roman" w:hAnsi="Times New Roman" w:cs="Times New Roman"/>
          <w:sz w:val="26"/>
          <w:szCs w:val="26"/>
        </w:rPr>
        <w:t>izzata</w:t>
      </w:r>
      <w:r w:rsidRPr="005A4656">
        <w:rPr>
          <w:rFonts w:ascii="Times New Roman" w:hAnsi="Times New Roman" w:cs="Times New Roman"/>
          <w:sz w:val="26"/>
          <w:szCs w:val="26"/>
        </w:rPr>
        <w:t xml:space="preserve"> </w:t>
      </w:r>
      <w:r w:rsidR="000233FF" w:rsidRPr="005A4656">
        <w:rPr>
          <w:rFonts w:ascii="Times New Roman" w:hAnsi="Times New Roman" w:cs="Times New Roman"/>
          <w:sz w:val="26"/>
          <w:szCs w:val="26"/>
        </w:rPr>
        <w:t xml:space="preserve">non </w:t>
      </w:r>
      <w:r w:rsidRPr="005A4656">
        <w:rPr>
          <w:rFonts w:ascii="Times New Roman" w:hAnsi="Times New Roman" w:cs="Times New Roman"/>
          <w:sz w:val="26"/>
          <w:szCs w:val="26"/>
        </w:rPr>
        <w:t xml:space="preserve">fiduciosa accoglienza, non sembrano avere </w:t>
      </w:r>
      <w:r w:rsidR="00FB5AAC" w:rsidRPr="005A4656">
        <w:rPr>
          <w:rFonts w:ascii="Times New Roman" w:hAnsi="Times New Roman" w:cs="Times New Roman"/>
          <w:sz w:val="26"/>
          <w:szCs w:val="26"/>
        </w:rPr>
        <w:t>alcun effetto pratico</w:t>
      </w:r>
      <w:r w:rsidR="00006A59" w:rsidRPr="005A4656">
        <w:rPr>
          <w:rFonts w:ascii="Times New Roman" w:hAnsi="Times New Roman" w:cs="Times New Roman"/>
          <w:sz w:val="26"/>
          <w:szCs w:val="26"/>
        </w:rPr>
        <w:t xml:space="preserve"> dissuasivo</w:t>
      </w:r>
      <w:r w:rsidR="00FB5AAC" w:rsidRPr="005A4656">
        <w:rPr>
          <w:rFonts w:ascii="Times New Roman" w:hAnsi="Times New Roman" w:cs="Times New Roman"/>
          <w:sz w:val="26"/>
          <w:szCs w:val="26"/>
        </w:rPr>
        <w:t>.</w:t>
      </w:r>
    </w:p>
    <w:p w:rsidR="00B35FC7" w:rsidRPr="005A4656" w:rsidRDefault="00FB5AAC"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 xml:space="preserve">La recente sentenza dell’Adunanza plenaria del Consiglio di Stato 6 aprile 2018, n. 3, in tema di rapporti tra obbligazioni, misure di prevenzione antimafia, giudicato, </w:t>
      </w:r>
      <w:r w:rsidR="000233FF" w:rsidRPr="005A4656">
        <w:rPr>
          <w:rFonts w:ascii="Times New Roman" w:hAnsi="Times New Roman" w:cs="Times New Roman"/>
          <w:sz w:val="26"/>
          <w:szCs w:val="26"/>
        </w:rPr>
        <w:t>si iscrive, a mio modesto avviso, in questo filone</w:t>
      </w:r>
      <w:r w:rsidR="00006A59" w:rsidRPr="005A4656">
        <w:rPr>
          <w:rFonts w:ascii="Times New Roman" w:hAnsi="Times New Roman" w:cs="Times New Roman"/>
          <w:sz w:val="26"/>
          <w:szCs w:val="26"/>
        </w:rPr>
        <w:t xml:space="preserve"> per il pericolo che il Giudice abbia ‘integrato’</w:t>
      </w:r>
      <w:r w:rsidR="004A2FC6" w:rsidRPr="005A4656">
        <w:rPr>
          <w:rFonts w:ascii="Times New Roman" w:hAnsi="Times New Roman" w:cs="Times New Roman"/>
          <w:sz w:val="26"/>
          <w:szCs w:val="26"/>
        </w:rPr>
        <w:t>, con la sua interpretazione,</w:t>
      </w:r>
      <w:r w:rsidR="00006A59" w:rsidRPr="005A4656">
        <w:rPr>
          <w:rFonts w:ascii="Times New Roman" w:hAnsi="Times New Roman" w:cs="Times New Roman"/>
          <w:sz w:val="26"/>
          <w:szCs w:val="26"/>
        </w:rPr>
        <w:t xml:space="preserve"> una norma di legge</w:t>
      </w:r>
      <w:r w:rsidRPr="005A4656">
        <w:rPr>
          <w:rFonts w:ascii="Times New Roman" w:hAnsi="Times New Roman" w:cs="Times New Roman"/>
          <w:sz w:val="26"/>
          <w:szCs w:val="26"/>
        </w:rPr>
        <w:t xml:space="preserve">. </w:t>
      </w:r>
      <w:r w:rsidR="00C90A1E" w:rsidRPr="005A4656">
        <w:rPr>
          <w:rFonts w:ascii="Times New Roman" w:hAnsi="Times New Roman" w:cs="Times New Roman"/>
          <w:sz w:val="26"/>
          <w:szCs w:val="26"/>
        </w:rPr>
        <w:t xml:space="preserve">    </w:t>
      </w:r>
    </w:p>
    <w:p w:rsidR="00FB5AAC" w:rsidRPr="005A4656" w:rsidRDefault="00006A59"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b/>
          <w:sz w:val="26"/>
          <w:szCs w:val="26"/>
        </w:rPr>
        <w:t>2.</w:t>
      </w:r>
      <w:r w:rsidRPr="005A4656">
        <w:rPr>
          <w:rFonts w:ascii="Times New Roman" w:hAnsi="Times New Roman" w:cs="Times New Roman"/>
          <w:sz w:val="26"/>
          <w:szCs w:val="26"/>
        </w:rPr>
        <w:t xml:space="preserve"> </w:t>
      </w:r>
      <w:r w:rsidR="000233FF" w:rsidRPr="005A4656">
        <w:rPr>
          <w:rFonts w:ascii="Times New Roman" w:hAnsi="Times New Roman" w:cs="Times New Roman"/>
          <w:sz w:val="26"/>
          <w:szCs w:val="26"/>
        </w:rPr>
        <w:t>U</w:t>
      </w:r>
      <w:r w:rsidR="00FB5AAC" w:rsidRPr="005A4656">
        <w:rPr>
          <w:rFonts w:ascii="Times New Roman" w:hAnsi="Times New Roman" w:cs="Times New Roman"/>
          <w:sz w:val="26"/>
          <w:szCs w:val="26"/>
        </w:rPr>
        <w:t>n breve riepilogo della questione sottopost</w:t>
      </w:r>
      <w:r w:rsidR="000233FF" w:rsidRPr="005A4656">
        <w:rPr>
          <w:rFonts w:ascii="Times New Roman" w:hAnsi="Times New Roman" w:cs="Times New Roman"/>
          <w:sz w:val="26"/>
          <w:szCs w:val="26"/>
        </w:rPr>
        <w:t>a</w:t>
      </w:r>
      <w:r w:rsidR="00FB5AAC" w:rsidRPr="005A4656">
        <w:rPr>
          <w:rFonts w:ascii="Times New Roman" w:hAnsi="Times New Roman" w:cs="Times New Roman"/>
          <w:sz w:val="26"/>
          <w:szCs w:val="26"/>
        </w:rPr>
        <w:t xml:space="preserve"> al Giudice della nomofilachia</w:t>
      </w:r>
      <w:r w:rsidRPr="005A4656">
        <w:rPr>
          <w:rFonts w:ascii="Times New Roman" w:hAnsi="Times New Roman" w:cs="Times New Roman"/>
          <w:sz w:val="26"/>
          <w:szCs w:val="26"/>
        </w:rPr>
        <w:t xml:space="preserve"> amministrativa</w:t>
      </w:r>
      <w:r w:rsidR="00FB5AAC" w:rsidRPr="005A4656">
        <w:rPr>
          <w:rFonts w:ascii="Times New Roman" w:hAnsi="Times New Roman" w:cs="Times New Roman"/>
          <w:sz w:val="26"/>
          <w:szCs w:val="26"/>
        </w:rPr>
        <w:t>.</w:t>
      </w:r>
    </w:p>
    <w:p w:rsidR="004919EB" w:rsidRPr="005A4656" w:rsidRDefault="00731772"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Un</w:t>
      </w:r>
      <w:r w:rsidR="004919EB" w:rsidRPr="005A4656">
        <w:rPr>
          <w:rFonts w:ascii="Times New Roman" w:hAnsi="Times New Roman" w:cs="Times New Roman"/>
          <w:sz w:val="26"/>
          <w:szCs w:val="26"/>
        </w:rPr>
        <w:t>’</w:t>
      </w:r>
      <w:r w:rsidR="004A2FC6" w:rsidRPr="005A4656">
        <w:rPr>
          <w:rFonts w:ascii="Times New Roman" w:hAnsi="Times New Roman" w:cs="Times New Roman"/>
          <w:sz w:val="26"/>
          <w:szCs w:val="26"/>
        </w:rPr>
        <w:t>a</w:t>
      </w:r>
      <w:r w:rsidR="004919EB" w:rsidRPr="005A4656">
        <w:rPr>
          <w:rFonts w:ascii="Times New Roman" w:hAnsi="Times New Roman" w:cs="Times New Roman"/>
          <w:sz w:val="26"/>
          <w:szCs w:val="26"/>
        </w:rPr>
        <w:t>mministrazione comunale, condannata al pagamento</w:t>
      </w:r>
      <w:r w:rsidRPr="005A4656">
        <w:rPr>
          <w:rFonts w:ascii="Times New Roman" w:hAnsi="Times New Roman" w:cs="Times New Roman"/>
          <w:sz w:val="26"/>
          <w:szCs w:val="26"/>
        </w:rPr>
        <w:t>, in favore di una ditta,</w:t>
      </w:r>
      <w:r w:rsidR="004919EB" w:rsidRPr="005A4656">
        <w:rPr>
          <w:rFonts w:ascii="Times New Roman" w:hAnsi="Times New Roman" w:cs="Times New Roman"/>
          <w:sz w:val="26"/>
          <w:szCs w:val="26"/>
        </w:rPr>
        <w:t xml:space="preserve"> d</w:t>
      </w:r>
      <w:r w:rsidRPr="005A4656">
        <w:rPr>
          <w:rFonts w:ascii="Times New Roman" w:hAnsi="Times New Roman" w:cs="Times New Roman"/>
          <w:sz w:val="26"/>
          <w:szCs w:val="26"/>
        </w:rPr>
        <w:t xml:space="preserve">i un </w:t>
      </w:r>
      <w:r w:rsidR="004919EB" w:rsidRPr="005A4656">
        <w:rPr>
          <w:rFonts w:ascii="Times New Roman" w:hAnsi="Times New Roman" w:cs="Times New Roman"/>
          <w:sz w:val="26"/>
          <w:szCs w:val="26"/>
        </w:rPr>
        <w:t xml:space="preserve">importo statuito in sede di giudizio </w:t>
      </w:r>
      <w:r w:rsidR="00006A59" w:rsidRPr="005A4656">
        <w:rPr>
          <w:rFonts w:ascii="Times New Roman" w:hAnsi="Times New Roman" w:cs="Times New Roman"/>
          <w:sz w:val="26"/>
          <w:szCs w:val="26"/>
        </w:rPr>
        <w:t xml:space="preserve">cognitorio </w:t>
      </w:r>
      <w:r w:rsidR="004919EB" w:rsidRPr="005A4656">
        <w:rPr>
          <w:rFonts w:ascii="Times New Roman" w:hAnsi="Times New Roman" w:cs="Times New Roman"/>
          <w:sz w:val="26"/>
          <w:szCs w:val="26"/>
        </w:rPr>
        <w:t>di</w:t>
      </w:r>
      <w:r w:rsidRPr="005A4656">
        <w:rPr>
          <w:rFonts w:ascii="Times New Roman" w:hAnsi="Times New Roman" w:cs="Times New Roman"/>
          <w:sz w:val="26"/>
          <w:szCs w:val="26"/>
        </w:rPr>
        <w:t>nanzi al Giudice amministrativo per un</w:t>
      </w:r>
      <w:r w:rsidR="000233FF" w:rsidRPr="005A4656">
        <w:rPr>
          <w:rFonts w:ascii="Times New Roman" w:hAnsi="Times New Roman" w:cs="Times New Roman"/>
          <w:sz w:val="26"/>
          <w:szCs w:val="26"/>
        </w:rPr>
        <w:t>’</w:t>
      </w:r>
      <w:r w:rsidRPr="005A4656">
        <w:rPr>
          <w:rFonts w:ascii="Times New Roman" w:hAnsi="Times New Roman" w:cs="Times New Roman"/>
          <w:sz w:val="26"/>
          <w:szCs w:val="26"/>
        </w:rPr>
        <w:t xml:space="preserve">illegittima procedura di gara, </w:t>
      </w:r>
      <w:r w:rsidR="004919EB" w:rsidRPr="005A4656">
        <w:rPr>
          <w:rFonts w:ascii="Times New Roman" w:hAnsi="Times New Roman" w:cs="Times New Roman"/>
          <w:sz w:val="26"/>
          <w:szCs w:val="26"/>
        </w:rPr>
        <w:t>con un ricorso per revocazione oppo</w:t>
      </w:r>
      <w:r w:rsidR="00006A59" w:rsidRPr="005A4656">
        <w:rPr>
          <w:rFonts w:ascii="Times New Roman" w:hAnsi="Times New Roman" w:cs="Times New Roman"/>
          <w:sz w:val="26"/>
          <w:szCs w:val="26"/>
        </w:rPr>
        <w:t>ne</w:t>
      </w:r>
      <w:r w:rsidR="004919EB" w:rsidRPr="005A4656">
        <w:rPr>
          <w:rFonts w:ascii="Times New Roman" w:hAnsi="Times New Roman" w:cs="Times New Roman"/>
          <w:sz w:val="26"/>
          <w:szCs w:val="26"/>
        </w:rPr>
        <w:t xml:space="preserve"> la circostanza che tale ditta, </w:t>
      </w:r>
      <w:r w:rsidR="000233FF" w:rsidRPr="005A4656">
        <w:rPr>
          <w:rFonts w:ascii="Times New Roman" w:hAnsi="Times New Roman" w:cs="Times New Roman"/>
          <w:sz w:val="26"/>
          <w:szCs w:val="26"/>
        </w:rPr>
        <w:t>essendo destinataria di</w:t>
      </w:r>
      <w:r w:rsidR="004919EB" w:rsidRPr="005A4656">
        <w:rPr>
          <w:rFonts w:ascii="Times New Roman" w:hAnsi="Times New Roman" w:cs="Times New Roman"/>
          <w:sz w:val="26"/>
          <w:szCs w:val="26"/>
        </w:rPr>
        <w:t xml:space="preserve"> un</w:t>
      </w:r>
      <w:r w:rsidR="000233FF" w:rsidRPr="005A4656">
        <w:rPr>
          <w:rFonts w:ascii="Times New Roman" w:hAnsi="Times New Roman" w:cs="Times New Roman"/>
          <w:sz w:val="26"/>
          <w:szCs w:val="26"/>
        </w:rPr>
        <w:t>’</w:t>
      </w:r>
      <w:r w:rsidR="004919EB" w:rsidRPr="005A4656">
        <w:rPr>
          <w:rFonts w:ascii="Times New Roman" w:hAnsi="Times New Roman" w:cs="Times New Roman"/>
          <w:sz w:val="26"/>
          <w:szCs w:val="26"/>
        </w:rPr>
        <w:t>informativa antimafia prima della conclusione della vertenza conclusasi con la sentenza</w:t>
      </w:r>
      <w:r w:rsidRPr="005A4656">
        <w:rPr>
          <w:rFonts w:ascii="Times New Roman" w:hAnsi="Times New Roman" w:cs="Times New Roman"/>
          <w:sz w:val="26"/>
          <w:szCs w:val="26"/>
        </w:rPr>
        <w:t xml:space="preserve"> di condanna</w:t>
      </w:r>
      <w:r w:rsidR="004919EB" w:rsidRPr="005A4656">
        <w:rPr>
          <w:rFonts w:ascii="Times New Roman" w:hAnsi="Times New Roman" w:cs="Times New Roman"/>
          <w:sz w:val="26"/>
          <w:szCs w:val="26"/>
        </w:rPr>
        <w:t>, di cui era venuta a conoscenza solo dopo la pubblicazione della sentenza poi passata in giudicato, non avrebbe potuto essere destinataria del pagamento. In sede di revocazione, il Consiglio di Stato respinge la tesi del Comune</w:t>
      </w:r>
      <w:r w:rsidR="000233FF" w:rsidRPr="005A4656">
        <w:rPr>
          <w:rFonts w:ascii="Times New Roman" w:hAnsi="Times New Roman" w:cs="Times New Roman"/>
          <w:sz w:val="26"/>
          <w:szCs w:val="26"/>
        </w:rPr>
        <w:t>,</w:t>
      </w:r>
      <w:r w:rsidR="004919EB" w:rsidRPr="005A4656">
        <w:rPr>
          <w:rFonts w:ascii="Times New Roman" w:hAnsi="Times New Roman" w:cs="Times New Roman"/>
          <w:sz w:val="26"/>
          <w:szCs w:val="26"/>
        </w:rPr>
        <w:t xml:space="preserve"> precisando che il giudicato “</w:t>
      </w:r>
      <w:r w:rsidR="004919EB" w:rsidRPr="005A4656">
        <w:rPr>
          <w:rFonts w:ascii="Times New Roman" w:hAnsi="Times New Roman" w:cs="Times New Roman"/>
          <w:i/>
          <w:sz w:val="26"/>
          <w:szCs w:val="26"/>
        </w:rPr>
        <w:t xml:space="preserve">deve restare intangibile rispetto ad un </w:t>
      </w:r>
      <w:r w:rsidR="004919EB" w:rsidRPr="005A4656">
        <w:rPr>
          <w:rFonts w:ascii="Times New Roman" w:hAnsi="Times New Roman" w:cs="Times New Roman"/>
          <w:i/>
          <w:sz w:val="26"/>
          <w:szCs w:val="26"/>
        </w:rPr>
        <w:lastRenderedPageBreak/>
        <w:t>provvedimento particolarmente grave e tra l’altro confermato nella sua legittimità dal giudice amministrativo in primo e secondo grado, ma sempre successivo a ciò che in uno Stato di diritto non può essere più messo in discussione</w:t>
      </w:r>
      <w:r w:rsidR="004919EB" w:rsidRPr="005A4656">
        <w:rPr>
          <w:rFonts w:ascii="Times New Roman" w:hAnsi="Times New Roman" w:cs="Times New Roman"/>
          <w:sz w:val="26"/>
          <w:szCs w:val="26"/>
        </w:rPr>
        <w:t xml:space="preserve">.” </w:t>
      </w:r>
    </w:p>
    <w:p w:rsidR="00BE513B" w:rsidRPr="005A4656" w:rsidRDefault="00731772"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La ditta, stante l’inadempimento perdurante dell’</w:t>
      </w:r>
      <w:r w:rsidR="004A2FC6" w:rsidRPr="005A4656">
        <w:rPr>
          <w:rFonts w:ascii="Times New Roman" w:hAnsi="Times New Roman" w:cs="Times New Roman"/>
          <w:sz w:val="26"/>
          <w:szCs w:val="26"/>
        </w:rPr>
        <w:t>a</w:t>
      </w:r>
      <w:r w:rsidRPr="005A4656">
        <w:rPr>
          <w:rFonts w:ascii="Times New Roman" w:hAnsi="Times New Roman" w:cs="Times New Roman"/>
          <w:sz w:val="26"/>
          <w:szCs w:val="26"/>
        </w:rPr>
        <w:t xml:space="preserve">mministrazione, propone quindi ricorso per l’ottemperanza alla sentenza del Consiglio di Stato passata in cosa giudicata, </w:t>
      </w:r>
      <w:r w:rsidR="00006A59" w:rsidRPr="005A4656">
        <w:rPr>
          <w:rFonts w:ascii="Times New Roman" w:hAnsi="Times New Roman" w:cs="Times New Roman"/>
          <w:sz w:val="26"/>
          <w:szCs w:val="26"/>
        </w:rPr>
        <w:t xml:space="preserve">per conseguire la </w:t>
      </w:r>
      <w:r w:rsidRPr="005A4656">
        <w:rPr>
          <w:rFonts w:ascii="Times New Roman" w:hAnsi="Times New Roman" w:cs="Times New Roman"/>
          <w:sz w:val="26"/>
          <w:szCs w:val="26"/>
        </w:rPr>
        <w:t xml:space="preserve">somma </w:t>
      </w:r>
      <w:r w:rsidR="00006A59" w:rsidRPr="005A4656">
        <w:rPr>
          <w:rFonts w:ascii="Times New Roman" w:hAnsi="Times New Roman" w:cs="Times New Roman"/>
          <w:sz w:val="26"/>
          <w:szCs w:val="26"/>
        </w:rPr>
        <w:t xml:space="preserve">statuita </w:t>
      </w:r>
      <w:r w:rsidRPr="005A4656">
        <w:rPr>
          <w:rFonts w:ascii="Times New Roman" w:hAnsi="Times New Roman" w:cs="Times New Roman"/>
          <w:sz w:val="26"/>
          <w:szCs w:val="26"/>
        </w:rPr>
        <w:t>a titolo di risarcimento dei danni subiti (ed accertati), come detto, per l’illegittima mancata aggiudicazione di una gara di appalto.</w:t>
      </w:r>
    </w:p>
    <w:p w:rsidR="00BE513B" w:rsidRPr="005A4656" w:rsidRDefault="00731772"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In sede di esecuzione, l’</w:t>
      </w:r>
      <w:r w:rsidR="004D71AE" w:rsidRPr="005A4656">
        <w:rPr>
          <w:rFonts w:ascii="Times New Roman" w:hAnsi="Times New Roman" w:cs="Times New Roman"/>
          <w:sz w:val="26"/>
          <w:szCs w:val="26"/>
        </w:rPr>
        <w:t>a</w:t>
      </w:r>
      <w:r w:rsidRPr="005A4656">
        <w:rPr>
          <w:rFonts w:ascii="Times New Roman" w:hAnsi="Times New Roman" w:cs="Times New Roman"/>
          <w:sz w:val="26"/>
          <w:szCs w:val="26"/>
        </w:rPr>
        <w:t xml:space="preserve">mministrazione comunale ribadisce </w:t>
      </w:r>
      <w:r w:rsidR="004D71AE" w:rsidRPr="005A4656">
        <w:rPr>
          <w:rFonts w:ascii="Times New Roman" w:hAnsi="Times New Roman" w:cs="Times New Roman"/>
          <w:sz w:val="26"/>
          <w:szCs w:val="26"/>
        </w:rPr>
        <w:t xml:space="preserve">e sviluppa </w:t>
      </w:r>
      <w:r w:rsidRPr="005A4656">
        <w:rPr>
          <w:rFonts w:ascii="Times New Roman" w:hAnsi="Times New Roman" w:cs="Times New Roman"/>
          <w:sz w:val="26"/>
          <w:szCs w:val="26"/>
        </w:rPr>
        <w:t xml:space="preserve">la tesi avanzata in sede di revocazione, ossia l’impossibilità di pagare un soggetto attinto dall’interdittiva. </w:t>
      </w:r>
      <w:r w:rsidR="00BE513B" w:rsidRPr="005A4656">
        <w:rPr>
          <w:rFonts w:ascii="Times New Roman" w:hAnsi="Times New Roman" w:cs="Times New Roman"/>
          <w:sz w:val="26"/>
          <w:szCs w:val="26"/>
        </w:rPr>
        <w:t>La V Sezione del Consiglio di Stato</w:t>
      </w:r>
      <w:r w:rsidR="000233FF" w:rsidRPr="005A4656">
        <w:rPr>
          <w:rFonts w:ascii="Times New Roman" w:hAnsi="Times New Roman" w:cs="Times New Roman"/>
          <w:sz w:val="26"/>
          <w:szCs w:val="26"/>
        </w:rPr>
        <w:t>,</w:t>
      </w:r>
      <w:r w:rsidR="00BE513B" w:rsidRPr="005A4656">
        <w:rPr>
          <w:rFonts w:ascii="Times New Roman" w:hAnsi="Times New Roman" w:cs="Times New Roman"/>
          <w:sz w:val="26"/>
          <w:szCs w:val="26"/>
        </w:rPr>
        <w:t xml:space="preserve"> con ordinanza 28 agosto 2017</w:t>
      </w:r>
      <w:r w:rsidR="000233FF" w:rsidRPr="005A4656">
        <w:rPr>
          <w:rFonts w:ascii="Times New Roman" w:hAnsi="Times New Roman" w:cs="Times New Roman"/>
          <w:sz w:val="26"/>
          <w:szCs w:val="26"/>
        </w:rPr>
        <w:t>,</w:t>
      </w:r>
      <w:r w:rsidR="00BE513B" w:rsidRPr="005A4656">
        <w:rPr>
          <w:rFonts w:ascii="Times New Roman" w:hAnsi="Times New Roman" w:cs="Times New Roman"/>
          <w:sz w:val="26"/>
          <w:szCs w:val="26"/>
        </w:rPr>
        <w:t xml:space="preserve"> n. 4078, rit</w:t>
      </w:r>
      <w:r w:rsidR="00006A59" w:rsidRPr="005A4656">
        <w:rPr>
          <w:rFonts w:ascii="Times New Roman" w:hAnsi="Times New Roman" w:cs="Times New Roman"/>
          <w:sz w:val="26"/>
          <w:szCs w:val="26"/>
        </w:rPr>
        <w:t>i</w:t>
      </w:r>
      <w:r w:rsidR="00BE513B" w:rsidRPr="005A4656">
        <w:rPr>
          <w:rFonts w:ascii="Times New Roman" w:hAnsi="Times New Roman" w:cs="Times New Roman"/>
          <w:sz w:val="26"/>
          <w:szCs w:val="26"/>
        </w:rPr>
        <w:t>en</w:t>
      </w:r>
      <w:r w:rsidR="00006A59" w:rsidRPr="005A4656">
        <w:rPr>
          <w:rFonts w:ascii="Times New Roman" w:hAnsi="Times New Roman" w:cs="Times New Roman"/>
          <w:sz w:val="26"/>
          <w:szCs w:val="26"/>
        </w:rPr>
        <w:t>e</w:t>
      </w:r>
      <w:r w:rsidR="00BE513B" w:rsidRPr="005A4656">
        <w:rPr>
          <w:rFonts w:ascii="Times New Roman" w:hAnsi="Times New Roman" w:cs="Times New Roman"/>
          <w:sz w:val="26"/>
          <w:szCs w:val="26"/>
        </w:rPr>
        <w:t xml:space="preserve"> necessario deferire, ai sensi dell’art. 99 </w:t>
      </w:r>
      <w:proofErr w:type="spellStart"/>
      <w:r w:rsidR="00BE513B" w:rsidRPr="005A4656">
        <w:rPr>
          <w:rFonts w:ascii="Times New Roman" w:hAnsi="Times New Roman" w:cs="Times New Roman"/>
          <w:sz w:val="26"/>
          <w:szCs w:val="26"/>
        </w:rPr>
        <w:t>c.p.a</w:t>
      </w:r>
      <w:proofErr w:type="spellEnd"/>
      <w:r w:rsidR="00BE513B" w:rsidRPr="005A4656">
        <w:rPr>
          <w:rFonts w:ascii="Times New Roman" w:hAnsi="Times New Roman" w:cs="Times New Roman"/>
          <w:sz w:val="26"/>
          <w:szCs w:val="26"/>
        </w:rPr>
        <w:t>., all’Adunanza Plenaria i seguenti punti di diritto sottoposti al suo esame: “</w:t>
      </w:r>
      <w:r w:rsidR="00BE513B" w:rsidRPr="005A4656">
        <w:rPr>
          <w:rFonts w:ascii="Times New Roman" w:hAnsi="Times New Roman" w:cs="Times New Roman"/>
          <w:i/>
          <w:sz w:val="26"/>
          <w:szCs w:val="26"/>
        </w:rPr>
        <w:t>i) se la previsione di cui al comma 1, lettera g), dell’articolo 67 del ‘Codice delle leggi antimafia’ possa essere intesa anche nel senso di precludere il versamento in favore dell’impresa di somme dovute a titolo risarcitorio in relazione a una vicenda sorta dall’affidamento (o dal mancato affidamento) di un appalto; ii) se osti a tale prospettazione il generale principio dell’intangibilità della cosa giudicata</w:t>
      </w:r>
      <w:r w:rsidR="00BE513B" w:rsidRPr="005A4656">
        <w:rPr>
          <w:rFonts w:ascii="Times New Roman" w:hAnsi="Times New Roman" w:cs="Times New Roman"/>
          <w:sz w:val="26"/>
          <w:szCs w:val="26"/>
        </w:rPr>
        <w:t>”.</w:t>
      </w:r>
    </w:p>
    <w:p w:rsidR="00302054" w:rsidRPr="005A4656" w:rsidRDefault="00BE513B"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 xml:space="preserve">In altre parole, il </w:t>
      </w:r>
      <w:r w:rsidR="00302054" w:rsidRPr="005A4656">
        <w:rPr>
          <w:rFonts w:ascii="Times New Roman" w:hAnsi="Times New Roman" w:cs="Times New Roman"/>
          <w:sz w:val="26"/>
          <w:szCs w:val="26"/>
        </w:rPr>
        <w:t xml:space="preserve">primo </w:t>
      </w:r>
      <w:r w:rsidRPr="005A4656">
        <w:rPr>
          <w:rFonts w:ascii="Times New Roman" w:hAnsi="Times New Roman" w:cs="Times New Roman"/>
          <w:sz w:val="26"/>
          <w:szCs w:val="26"/>
        </w:rPr>
        <w:t>punto di diritto sottoposto alla Plenaria consiste nell</w:t>
      </w:r>
      <w:r w:rsidR="00022C89" w:rsidRPr="005A4656">
        <w:rPr>
          <w:rFonts w:ascii="Times New Roman" w:hAnsi="Times New Roman" w:cs="Times New Roman"/>
          <w:sz w:val="26"/>
          <w:szCs w:val="26"/>
        </w:rPr>
        <w:t>a richiesta d</w:t>
      </w:r>
      <w:r w:rsidRPr="005A4656">
        <w:rPr>
          <w:rFonts w:ascii="Times New Roman" w:hAnsi="Times New Roman" w:cs="Times New Roman"/>
          <w:sz w:val="26"/>
          <w:szCs w:val="26"/>
        </w:rPr>
        <w:t>’interpretazione dell’art. 67, comma 1, lettera g)</w:t>
      </w:r>
      <w:r w:rsidR="009D2900" w:rsidRPr="005A4656">
        <w:rPr>
          <w:rFonts w:ascii="Times New Roman" w:hAnsi="Times New Roman" w:cs="Times New Roman"/>
          <w:sz w:val="26"/>
          <w:szCs w:val="26"/>
        </w:rPr>
        <w:t>,</w:t>
      </w:r>
      <w:r w:rsidRPr="005A4656">
        <w:rPr>
          <w:rFonts w:ascii="Times New Roman" w:hAnsi="Times New Roman" w:cs="Times New Roman"/>
          <w:sz w:val="26"/>
          <w:szCs w:val="26"/>
        </w:rPr>
        <w:t xml:space="preserve"> </w:t>
      </w:r>
      <w:r w:rsidR="00022C89" w:rsidRPr="005A4656">
        <w:rPr>
          <w:rFonts w:ascii="Times New Roman" w:hAnsi="Times New Roman" w:cs="Times New Roman"/>
          <w:sz w:val="26"/>
          <w:szCs w:val="26"/>
        </w:rPr>
        <w:t xml:space="preserve">del Codice antimafia, </w:t>
      </w:r>
      <w:r w:rsidRPr="005A4656">
        <w:rPr>
          <w:rFonts w:ascii="Times New Roman" w:hAnsi="Times New Roman" w:cs="Times New Roman"/>
          <w:sz w:val="26"/>
          <w:szCs w:val="26"/>
        </w:rPr>
        <w:t>che si riporta: “</w:t>
      </w:r>
      <w:r w:rsidRPr="005A4656">
        <w:rPr>
          <w:rFonts w:ascii="Times New Roman" w:hAnsi="Times New Roman" w:cs="Times New Roman"/>
          <w:i/>
          <w:sz w:val="26"/>
          <w:szCs w:val="26"/>
        </w:rPr>
        <w:t>Le persone alle quali sia stata applicata con provvedimento definitivo una delle misure di prevenzione previste dal libro I, titolo I, capo II non possono ottenere:… g) contributi, finanziamenti o mutui agevolati ed altre erogazioni dello stesso tipo, comunque denominate, concessi o erogati da parte dello Stato, di altri enti pubblici o delle Comunità europee, per lo svolgimento di attività imprenditoriali</w:t>
      </w:r>
      <w:r w:rsidR="009D2900" w:rsidRPr="005A4656">
        <w:rPr>
          <w:rFonts w:ascii="Times New Roman" w:hAnsi="Times New Roman" w:cs="Times New Roman"/>
          <w:sz w:val="26"/>
          <w:szCs w:val="26"/>
        </w:rPr>
        <w:t>”. La Sezione prospetta due interpretazioni, una letterale “</w:t>
      </w:r>
      <w:r w:rsidR="009D2900" w:rsidRPr="005A4656">
        <w:rPr>
          <w:rFonts w:ascii="Times New Roman" w:hAnsi="Times New Roman" w:cs="Times New Roman"/>
          <w:i/>
          <w:sz w:val="26"/>
          <w:szCs w:val="26"/>
        </w:rPr>
        <w:t>compatibile con il carattere evidentemente afflittivo della disposizione in esame</w:t>
      </w:r>
      <w:r w:rsidR="009D2900" w:rsidRPr="005A4656">
        <w:rPr>
          <w:rFonts w:ascii="Times New Roman" w:hAnsi="Times New Roman" w:cs="Times New Roman"/>
          <w:sz w:val="26"/>
          <w:szCs w:val="26"/>
        </w:rPr>
        <w:t>”</w:t>
      </w:r>
      <w:r w:rsidR="00022C89" w:rsidRPr="005A4656">
        <w:rPr>
          <w:rFonts w:ascii="Times New Roman" w:hAnsi="Times New Roman" w:cs="Times New Roman"/>
          <w:sz w:val="26"/>
          <w:szCs w:val="26"/>
        </w:rPr>
        <w:t>,</w:t>
      </w:r>
      <w:r w:rsidR="009D2900" w:rsidRPr="005A4656">
        <w:rPr>
          <w:rFonts w:ascii="Times New Roman" w:hAnsi="Times New Roman" w:cs="Times New Roman"/>
          <w:sz w:val="26"/>
          <w:szCs w:val="26"/>
        </w:rPr>
        <w:t xml:space="preserve"> </w:t>
      </w:r>
      <w:r w:rsidR="00302054" w:rsidRPr="005A4656">
        <w:rPr>
          <w:rFonts w:ascii="Times New Roman" w:hAnsi="Times New Roman" w:cs="Times New Roman"/>
          <w:sz w:val="26"/>
          <w:szCs w:val="26"/>
        </w:rPr>
        <w:t>ch</w:t>
      </w:r>
      <w:r w:rsidR="009D2900" w:rsidRPr="005A4656">
        <w:rPr>
          <w:rFonts w:ascii="Times New Roman" w:hAnsi="Times New Roman" w:cs="Times New Roman"/>
          <w:sz w:val="26"/>
          <w:szCs w:val="26"/>
        </w:rPr>
        <w:t>e “</w:t>
      </w:r>
      <w:r w:rsidR="009D2900" w:rsidRPr="005A4656">
        <w:rPr>
          <w:rFonts w:ascii="Times New Roman" w:hAnsi="Times New Roman" w:cs="Times New Roman"/>
          <w:i/>
          <w:sz w:val="26"/>
          <w:szCs w:val="26"/>
        </w:rPr>
        <w:t xml:space="preserve">condurrebbe ad escludere che il risarcimento del danno presenti una </w:t>
      </w:r>
      <w:proofErr w:type="spellStart"/>
      <w:r w:rsidR="009D2900" w:rsidRPr="005A4656">
        <w:rPr>
          <w:rFonts w:ascii="Times New Roman" w:hAnsi="Times New Roman" w:cs="Times New Roman"/>
          <w:sz w:val="26"/>
          <w:szCs w:val="26"/>
        </w:rPr>
        <w:t>eadem</w:t>
      </w:r>
      <w:proofErr w:type="spellEnd"/>
      <w:r w:rsidR="009D2900" w:rsidRPr="005A4656">
        <w:rPr>
          <w:rFonts w:ascii="Times New Roman" w:hAnsi="Times New Roman" w:cs="Times New Roman"/>
          <w:sz w:val="26"/>
          <w:szCs w:val="26"/>
        </w:rPr>
        <w:t xml:space="preserve"> ratio</w:t>
      </w:r>
      <w:r w:rsidR="009D2900" w:rsidRPr="005A4656">
        <w:rPr>
          <w:rFonts w:ascii="Times New Roman" w:hAnsi="Times New Roman" w:cs="Times New Roman"/>
          <w:i/>
          <w:sz w:val="26"/>
          <w:szCs w:val="26"/>
        </w:rPr>
        <w:t xml:space="preserve"> rispetto “[ai] contributi, finanziamenti o mutui agevolati” di cui è menzione nell’ambito della stessa lettera g), ed una di carattere logico – sistematica </w:t>
      </w:r>
      <w:r w:rsidR="00747782" w:rsidRPr="005A4656">
        <w:rPr>
          <w:rFonts w:ascii="Times New Roman" w:hAnsi="Times New Roman" w:cs="Times New Roman"/>
          <w:i/>
          <w:sz w:val="26"/>
          <w:szCs w:val="26"/>
        </w:rPr>
        <w:t>‘</w:t>
      </w:r>
      <w:r w:rsidR="009D2900" w:rsidRPr="005A4656">
        <w:rPr>
          <w:rFonts w:ascii="Times New Roman" w:hAnsi="Times New Roman" w:cs="Times New Roman"/>
          <w:i/>
          <w:sz w:val="26"/>
          <w:szCs w:val="26"/>
        </w:rPr>
        <w:t>capace di valorizzare la funzione dalla norma e l’obiettivo con essa perseguito di contrasto a fenomeni di criminalità su base associativa</w:t>
      </w:r>
      <w:r w:rsidR="00747782" w:rsidRPr="005A4656">
        <w:rPr>
          <w:rFonts w:ascii="Times New Roman" w:hAnsi="Times New Roman" w:cs="Times New Roman"/>
          <w:i/>
          <w:sz w:val="26"/>
          <w:szCs w:val="26"/>
        </w:rPr>
        <w:t>’ …</w:t>
      </w:r>
      <w:r w:rsidR="009D2900" w:rsidRPr="005A4656">
        <w:rPr>
          <w:rFonts w:ascii="Times New Roman" w:hAnsi="Times New Roman" w:cs="Times New Roman"/>
          <w:sz w:val="26"/>
          <w:szCs w:val="26"/>
        </w:rPr>
        <w:t xml:space="preserve"> </w:t>
      </w:r>
      <w:r w:rsidR="00747782" w:rsidRPr="005A4656">
        <w:rPr>
          <w:rFonts w:ascii="Times New Roman" w:hAnsi="Times New Roman" w:cs="Times New Roman"/>
          <w:sz w:val="26"/>
          <w:szCs w:val="26"/>
        </w:rPr>
        <w:t>(</w:t>
      </w:r>
      <w:r w:rsidR="009D2900" w:rsidRPr="005A4656">
        <w:rPr>
          <w:rFonts w:ascii="Times New Roman" w:hAnsi="Times New Roman" w:cs="Times New Roman"/>
          <w:sz w:val="26"/>
          <w:szCs w:val="26"/>
        </w:rPr>
        <w:t>che</w:t>
      </w:r>
      <w:r w:rsidR="00747782" w:rsidRPr="005A4656">
        <w:rPr>
          <w:rFonts w:ascii="Times New Roman" w:hAnsi="Times New Roman" w:cs="Times New Roman"/>
          <w:sz w:val="26"/>
          <w:szCs w:val="26"/>
        </w:rPr>
        <w:t>)</w:t>
      </w:r>
      <w:r w:rsidR="009D2900" w:rsidRPr="005A4656">
        <w:rPr>
          <w:rFonts w:ascii="Times New Roman" w:hAnsi="Times New Roman" w:cs="Times New Roman"/>
          <w:sz w:val="26"/>
          <w:szCs w:val="26"/>
        </w:rPr>
        <w:t xml:space="preserve"> </w:t>
      </w:r>
      <w:r w:rsidR="009D2900" w:rsidRPr="005A4656">
        <w:rPr>
          <w:rFonts w:ascii="Times New Roman" w:hAnsi="Times New Roman" w:cs="Times New Roman"/>
          <w:i/>
          <w:sz w:val="26"/>
          <w:szCs w:val="26"/>
        </w:rPr>
        <w:t xml:space="preserve">dovrebbe condurre a ritenere che il ‘catalogo’ delle ipotesi di cui alla lettera g) sia </w:t>
      </w:r>
      <w:r w:rsidR="009D2900" w:rsidRPr="005A4656">
        <w:rPr>
          <w:rFonts w:ascii="Times New Roman" w:hAnsi="Times New Roman" w:cs="Times New Roman"/>
          <w:i/>
          <w:sz w:val="26"/>
          <w:szCs w:val="26"/>
        </w:rPr>
        <w:lastRenderedPageBreak/>
        <w:t xml:space="preserve">‘aperto’ e che la locuzione </w:t>
      </w:r>
      <w:r w:rsidR="00747782" w:rsidRPr="005A4656">
        <w:rPr>
          <w:rFonts w:ascii="Times New Roman" w:hAnsi="Times New Roman" w:cs="Times New Roman"/>
          <w:i/>
          <w:sz w:val="26"/>
          <w:szCs w:val="26"/>
        </w:rPr>
        <w:t>‘</w:t>
      </w:r>
      <w:r w:rsidR="009D2900" w:rsidRPr="005A4656">
        <w:rPr>
          <w:rFonts w:ascii="Times New Roman" w:hAnsi="Times New Roman" w:cs="Times New Roman"/>
          <w:i/>
          <w:sz w:val="26"/>
          <w:szCs w:val="26"/>
        </w:rPr>
        <w:t>altre erogazioni dello stesso tipo</w:t>
      </w:r>
      <w:r w:rsidR="00747782" w:rsidRPr="005A4656">
        <w:rPr>
          <w:rFonts w:ascii="Times New Roman" w:hAnsi="Times New Roman" w:cs="Times New Roman"/>
          <w:i/>
          <w:sz w:val="26"/>
          <w:szCs w:val="26"/>
        </w:rPr>
        <w:t>’</w:t>
      </w:r>
      <w:r w:rsidR="009D2900" w:rsidRPr="005A4656">
        <w:rPr>
          <w:rFonts w:ascii="Times New Roman" w:hAnsi="Times New Roman" w:cs="Times New Roman"/>
          <w:i/>
          <w:sz w:val="26"/>
          <w:szCs w:val="26"/>
        </w:rPr>
        <w:t>, lungi dal ‘chiudere’ l’elencazione, presenti piuttosto una valenza – per così dire – ‘pan-tipizzante’, volta ad impedire nella sostanza l’erogazione di qualunque utilità di fonte pubblica in favore dell’impresa in odore di condizionamento malavitoso, a prescindere dalla fonte e dal tipo di tale utilità.</w:t>
      </w:r>
      <w:r w:rsidR="009D2900" w:rsidRPr="005A4656">
        <w:rPr>
          <w:rFonts w:ascii="Times New Roman" w:hAnsi="Times New Roman" w:cs="Times New Roman"/>
          <w:sz w:val="26"/>
          <w:szCs w:val="26"/>
        </w:rPr>
        <w:t xml:space="preserve">” </w:t>
      </w:r>
      <w:r w:rsidRPr="005A4656">
        <w:rPr>
          <w:rFonts w:ascii="Times New Roman" w:hAnsi="Times New Roman" w:cs="Times New Roman"/>
          <w:sz w:val="26"/>
          <w:szCs w:val="26"/>
        </w:rPr>
        <w:t xml:space="preserve"> </w:t>
      </w:r>
      <w:r w:rsidR="00731772" w:rsidRPr="005A4656">
        <w:rPr>
          <w:rFonts w:ascii="Times New Roman" w:hAnsi="Times New Roman" w:cs="Times New Roman"/>
          <w:sz w:val="26"/>
          <w:szCs w:val="26"/>
        </w:rPr>
        <w:t xml:space="preserve"> </w:t>
      </w:r>
    </w:p>
    <w:p w:rsidR="00AC4B0A" w:rsidRPr="005A4656" w:rsidRDefault="00302054"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Il secondo punto di diritto consiste nello “</w:t>
      </w:r>
      <w:r w:rsidRPr="005A4656">
        <w:rPr>
          <w:rFonts w:ascii="Times New Roman" w:hAnsi="Times New Roman" w:cs="Times New Roman"/>
          <w:i/>
          <w:sz w:val="26"/>
          <w:szCs w:val="26"/>
        </w:rPr>
        <w:t xml:space="preserve">stabilire se il giudicato formale, in qualsiasi modo formatosi, impedisca in ogni caso all’amministrazione di sottrarsi agli obblighi da esso nascente di corrispondere una somma di denaro a titolo risarcitorio ad un soggetto attinto da un’informativa interdittiva antimafia mai entrata nella dialettica processuale, anche se precedente alla formazione del giudicato, oppure se le finalità e la </w:t>
      </w:r>
      <w:r w:rsidRPr="005A4656">
        <w:rPr>
          <w:rFonts w:ascii="Times New Roman" w:hAnsi="Times New Roman" w:cs="Times New Roman"/>
          <w:sz w:val="26"/>
          <w:szCs w:val="26"/>
        </w:rPr>
        <w:t>ratio</w:t>
      </w:r>
      <w:r w:rsidRPr="005A4656">
        <w:rPr>
          <w:rFonts w:ascii="Times New Roman" w:hAnsi="Times New Roman" w:cs="Times New Roman"/>
          <w:i/>
          <w:sz w:val="26"/>
          <w:szCs w:val="26"/>
        </w:rPr>
        <w:t xml:space="preserve"> dell’informativa interdittiva antimafia diano vita ad una situazione di incapacità legale </w:t>
      </w:r>
      <w:r w:rsidRPr="005A4656">
        <w:rPr>
          <w:rFonts w:ascii="Times New Roman" w:hAnsi="Times New Roman" w:cs="Times New Roman"/>
          <w:sz w:val="26"/>
          <w:szCs w:val="26"/>
        </w:rPr>
        <w:t>ex lege</w:t>
      </w:r>
      <w:r w:rsidRPr="005A4656">
        <w:rPr>
          <w:rFonts w:ascii="Times New Roman" w:hAnsi="Times New Roman" w:cs="Times New Roman"/>
          <w:i/>
          <w:sz w:val="26"/>
          <w:szCs w:val="26"/>
        </w:rPr>
        <w:t xml:space="preserve"> (tendenzialmente temporanea e capace di venir meno con un successivo provvedimento dell’autorità prefettizia) che produca corrispondente sospensione temporanea dell’obbligo per l’amministrazione di eseguire quel giudicato.</w:t>
      </w:r>
      <w:r w:rsidRPr="005A4656">
        <w:rPr>
          <w:rFonts w:ascii="Times New Roman" w:hAnsi="Times New Roman" w:cs="Times New Roman"/>
          <w:sz w:val="26"/>
          <w:szCs w:val="26"/>
        </w:rPr>
        <w:t>”</w:t>
      </w:r>
    </w:p>
    <w:p w:rsidR="00596935" w:rsidRPr="005A4656" w:rsidRDefault="00302054"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 xml:space="preserve">La Plenaria </w:t>
      </w:r>
      <w:r w:rsidR="00AC4B0A" w:rsidRPr="005A4656">
        <w:rPr>
          <w:rFonts w:ascii="Times New Roman" w:hAnsi="Times New Roman" w:cs="Times New Roman"/>
          <w:sz w:val="26"/>
          <w:szCs w:val="26"/>
        </w:rPr>
        <w:t>muove dalla considerazione de</w:t>
      </w:r>
      <w:r w:rsidRPr="005A4656">
        <w:rPr>
          <w:rFonts w:ascii="Times New Roman" w:hAnsi="Times New Roman" w:cs="Times New Roman"/>
          <w:sz w:val="26"/>
          <w:szCs w:val="26"/>
        </w:rPr>
        <w:t xml:space="preserve">gli effetti determinati dall’interdittiva prefettizia, che provoca </w:t>
      </w:r>
      <w:r w:rsidR="00AC4B0A" w:rsidRPr="005A4656">
        <w:rPr>
          <w:rFonts w:ascii="Times New Roman" w:hAnsi="Times New Roman" w:cs="Times New Roman"/>
          <w:sz w:val="26"/>
          <w:szCs w:val="26"/>
        </w:rPr>
        <w:t>“</w:t>
      </w:r>
      <w:r w:rsidRPr="005A4656">
        <w:rPr>
          <w:rFonts w:ascii="Times New Roman" w:hAnsi="Times New Roman" w:cs="Times New Roman"/>
          <w:i/>
          <w:sz w:val="26"/>
          <w:szCs w:val="26"/>
        </w:rPr>
        <w:t xml:space="preserve">una particolare forma di incapacità giuridica, e dunque la </w:t>
      </w:r>
      <w:proofErr w:type="spellStart"/>
      <w:r w:rsidRPr="005A4656">
        <w:rPr>
          <w:rFonts w:ascii="Times New Roman" w:hAnsi="Times New Roman" w:cs="Times New Roman"/>
          <w:i/>
          <w:sz w:val="26"/>
          <w:szCs w:val="26"/>
        </w:rPr>
        <w:t>insuscettività</w:t>
      </w:r>
      <w:proofErr w:type="spellEnd"/>
      <w:r w:rsidRPr="005A4656">
        <w:rPr>
          <w:rFonts w:ascii="Times New Roman" w:hAnsi="Times New Roman" w:cs="Times New Roman"/>
          <w:i/>
          <w:sz w:val="26"/>
          <w:szCs w:val="26"/>
        </w:rPr>
        <w:t xml:space="preserve"> del soggetto (persona fisica o giuridica) che di esso è destinatario ad essere titolare di quelle situazioni giuridiche soggettive (diritti soggettivi, interessi legittimi) che determinino (sul proprio cd. lato esterno) rapporti giuridici con la Pubblica Amministrazione (Cons. Stato, sez. IV, 20 luglio 2016 n. 3247)</w:t>
      </w:r>
      <w:r w:rsidRPr="005A4656">
        <w:rPr>
          <w:rFonts w:ascii="Times New Roman" w:hAnsi="Times New Roman" w:cs="Times New Roman"/>
          <w:sz w:val="26"/>
          <w:szCs w:val="26"/>
        </w:rPr>
        <w:t>.</w:t>
      </w:r>
      <w:r w:rsidR="00AC4B0A" w:rsidRPr="005A4656">
        <w:rPr>
          <w:rFonts w:ascii="Times New Roman" w:hAnsi="Times New Roman" w:cs="Times New Roman"/>
          <w:sz w:val="26"/>
          <w:szCs w:val="26"/>
        </w:rPr>
        <w:t xml:space="preserve"> </w:t>
      </w:r>
      <w:r w:rsidR="00AC4B0A" w:rsidRPr="005A4656">
        <w:rPr>
          <w:rFonts w:ascii="Times New Roman" w:hAnsi="Times New Roman" w:cs="Times New Roman"/>
          <w:i/>
          <w:sz w:val="26"/>
          <w:szCs w:val="26"/>
        </w:rPr>
        <w:t xml:space="preserve">Si tratta di una incapacità giuridica prevista dalla legge a garanzia di valori costituzionalmente garantiti e conseguente all’adozione di un provvedimento adottato all’esito di un procedimento normativamente tipizzato e nei confronti del quale vi è previsione delle indispensabili garanzie di tutela giurisdizionale del soggetto di esso destinatario. Essa è: - parziale, in quanto limitata ai rapporti giuridici con la Pubblica Amministrazione, ed anche nei confronti di questa limitatamente a quelli di natura contrattuale, ovvero intercorrenti con esercizio di poteri </w:t>
      </w:r>
      <w:proofErr w:type="spellStart"/>
      <w:r w:rsidR="00AC4B0A" w:rsidRPr="005A4656">
        <w:rPr>
          <w:rFonts w:ascii="Times New Roman" w:hAnsi="Times New Roman" w:cs="Times New Roman"/>
          <w:i/>
          <w:sz w:val="26"/>
          <w:szCs w:val="26"/>
        </w:rPr>
        <w:t>provvedimentali</w:t>
      </w:r>
      <w:proofErr w:type="spellEnd"/>
      <w:r w:rsidR="00AC4B0A" w:rsidRPr="005A4656">
        <w:rPr>
          <w:rFonts w:ascii="Times New Roman" w:hAnsi="Times New Roman" w:cs="Times New Roman"/>
          <w:i/>
          <w:sz w:val="26"/>
          <w:szCs w:val="26"/>
        </w:rPr>
        <w:t xml:space="preserve">, e comunque ai precisi casi </w:t>
      </w:r>
      <w:proofErr w:type="gramStart"/>
      <w:r w:rsidR="00AC4B0A" w:rsidRPr="005A4656">
        <w:rPr>
          <w:rFonts w:ascii="Times New Roman" w:hAnsi="Times New Roman" w:cs="Times New Roman"/>
          <w:i/>
          <w:sz w:val="26"/>
          <w:szCs w:val="26"/>
        </w:rPr>
        <w:t>espressamente indicati</w:t>
      </w:r>
      <w:proofErr w:type="gramEnd"/>
      <w:r w:rsidR="00AC4B0A" w:rsidRPr="005A4656">
        <w:rPr>
          <w:rFonts w:ascii="Times New Roman" w:hAnsi="Times New Roman" w:cs="Times New Roman"/>
          <w:i/>
          <w:sz w:val="26"/>
          <w:szCs w:val="26"/>
        </w:rPr>
        <w:t xml:space="preserve"> dalla legge (art. 67 d.lgs. n. 159/2011); - tendenzialmente temporanea, potendo venire meno per il tramite di un successivo provvedimento dell’autorità amministrativa competente (il Prefetto)</w:t>
      </w:r>
      <w:r w:rsidR="00AC4B0A" w:rsidRPr="005A4656">
        <w:rPr>
          <w:rFonts w:ascii="Times New Roman" w:hAnsi="Times New Roman" w:cs="Times New Roman"/>
          <w:sz w:val="26"/>
          <w:szCs w:val="26"/>
        </w:rPr>
        <w:t xml:space="preserve">”. Ciò premesso, la decisione </w:t>
      </w:r>
      <w:r w:rsidR="00596935" w:rsidRPr="005A4656">
        <w:rPr>
          <w:rFonts w:ascii="Times New Roman" w:hAnsi="Times New Roman" w:cs="Times New Roman"/>
          <w:sz w:val="26"/>
          <w:szCs w:val="26"/>
        </w:rPr>
        <w:t>i</w:t>
      </w:r>
      <w:r w:rsidR="00AC4B0A" w:rsidRPr="005A4656">
        <w:rPr>
          <w:rFonts w:ascii="Times New Roman" w:hAnsi="Times New Roman" w:cs="Times New Roman"/>
          <w:sz w:val="26"/>
          <w:szCs w:val="26"/>
        </w:rPr>
        <w:t xml:space="preserve">n discorso richiama </w:t>
      </w:r>
      <w:r w:rsidR="004D71AE" w:rsidRPr="005A4656">
        <w:rPr>
          <w:rFonts w:ascii="Times New Roman" w:hAnsi="Times New Roman" w:cs="Times New Roman"/>
          <w:sz w:val="26"/>
          <w:szCs w:val="26"/>
        </w:rPr>
        <w:t>il proprio p</w:t>
      </w:r>
      <w:r w:rsidR="00AC4B0A" w:rsidRPr="005A4656">
        <w:rPr>
          <w:rFonts w:ascii="Times New Roman" w:hAnsi="Times New Roman" w:cs="Times New Roman"/>
          <w:sz w:val="26"/>
          <w:szCs w:val="26"/>
        </w:rPr>
        <w:t>recedente</w:t>
      </w:r>
      <w:r w:rsidR="00022C89" w:rsidRPr="005A4656">
        <w:rPr>
          <w:rFonts w:ascii="Times New Roman" w:hAnsi="Times New Roman" w:cs="Times New Roman"/>
          <w:sz w:val="26"/>
          <w:szCs w:val="26"/>
        </w:rPr>
        <w:t xml:space="preserve"> </w:t>
      </w:r>
      <w:r w:rsidR="00AC4B0A" w:rsidRPr="005A4656">
        <w:rPr>
          <w:rFonts w:ascii="Times New Roman" w:hAnsi="Times New Roman" w:cs="Times New Roman"/>
          <w:sz w:val="26"/>
          <w:szCs w:val="26"/>
        </w:rPr>
        <w:t xml:space="preserve">n. 19 del 2012, </w:t>
      </w:r>
      <w:r w:rsidR="004D71AE" w:rsidRPr="005A4656">
        <w:rPr>
          <w:rFonts w:ascii="Times New Roman" w:hAnsi="Times New Roman" w:cs="Times New Roman"/>
          <w:sz w:val="26"/>
          <w:szCs w:val="26"/>
        </w:rPr>
        <w:t>i</w:t>
      </w:r>
      <w:r w:rsidR="00AC4B0A" w:rsidRPr="005A4656">
        <w:rPr>
          <w:rFonts w:ascii="Times New Roman" w:hAnsi="Times New Roman" w:cs="Times New Roman"/>
          <w:sz w:val="26"/>
          <w:szCs w:val="26"/>
        </w:rPr>
        <w:t xml:space="preserve">l quale, riferendosi ad una </w:t>
      </w:r>
      <w:r w:rsidR="00AC4B0A" w:rsidRPr="005A4656">
        <w:rPr>
          <w:rFonts w:ascii="Times New Roman" w:hAnsi="Times New Roman" w:cs="Times New Roman"/>
          <w:sz w:val="26"/>
          <w:szCs w:val="26"/>
        </w:rPr>
        <w:lastRenderedPageBreak/>
        <w:t xml:space="preserve">controversia attinente ad un pagamento di un esborso di matrice indennitaria, in un </w:t>
      </w:r>
      <w:proofErr w:type="spellStart"/>
      <w:r w:rsidR="00AC4B0A" w:rsidRPr="005A4656">
        <w:rPr>
          <w:rFonts w:ascii="Times New Roman" w:hAnsi="Times New Roman" w:cs="Times New Roman"/>
          <w:i/>
          <w:sz w:val="26"/>
          <w:szCs w:val="26"/>
        </w:rPr>
        <w:t>obiter</w:t>
      </w:r>
      <w:proofErr w:type="spellEnd"/>
      <w:r w:rsidR="00AC4B0A" w:rsidRPr="005A4656">
        <w:rPr>
          <w:rFonts w:ascii="Times New Roman" w:hAnsi="Times New Roman" w:cs="Times New Roman"/>
          <w:i/>
          <w:sz w:val="26"/>
          <w:szCs w:val="26"/>
        </w:rPr>
        <w:t xml:space="preserve"> </w:t>
      </w:r>
      <w:proofErr w:type="spellStart"/>
      <w:r w:rsidR="00AC4B0A" w:rsidRPr="005A4656">
        <w:rPr>
          <w:rFonts w:ascii="Times New Roman" w:hAnsi="Times New Roman" w:cs="Times New Roman"/>
          <w:i/>
          <w:sz w:val="26"/>
          <w:szCs w:val="26"/>
        </w:rPr>
        <w:t>dictum</w:t>
      </w:r>
      <w:proofErr w:type="spellEnd"/>
      <w:r w:rsidR="00AC4B0A" w:rsidRPr="005A4656">
        <w:rPr>
          <w:rFonts w:ascii="Times New Roman" w:hAnsi="Times New Roman" w:cs="Times New Roman"/>
          <w:sz w:val="26"/>
          <w:szCs w:val="26"/>
        </w:rPr>
        <w:t xml:space="preserve"> riferisce che “</w:t>
      </w:r>
      <w:r w:rsidR="00AC4B0A" w:rsidRPr="005A4656">
        <w:rPr>
          <w:rFonts w:ascii="Times New Roman" w:hAnsi="Times New Roman" w:cs="Times New Roman"/>
          <w:i/>
          <w:sz w:val="26"/>
          <w:szCs w:val="26"/>
        </w:rPr>
        <w:t xml:space="preserve">non si vede perché nella suddetta </w:t>
      </w:r>
      <w:r w:rsidR="00AC4B0A" w:rsidRPr="005A4656">
        <w:rPr>
          <w:rFonts w:ascii="Times New Roman" w:hAnsi="Times New Roman" w:cs="Times New Roman"/>
          <w:sz w:val="26"/>
          <w:szCs w:val="26"/>
        </w:rPr>
        <w:t>ratio</w:t>
      </w:r>
      <w:r w:rsidR="00AC4B0A" w:rsidRPr="005A4656">
        <w:rPr>
          <w:rFonts w:ascii="Times New Roman" w:hAnsi="Times New Roman" w:cs="Times New Roman"/>
          <w:i/>
          <w:sz w:val="26"/>
          <w:szCs w:val="26"/>
        </w:rPr>
        <w:t xml:space="preserve"> dovrebbero rientrare unicamente le erogazioni dirette ad arricchirlo (l’imprenditore colpito da interdittiva) e non anche quelle dirette a parzialmente compensarlo di una perdita subita sussistendo per entrambe il pericolo che l’esborso di matrice pubblicistica giovi ad un’impresa soggetta ad infiltrazioni criminali</w:t>
      </w:r>
      <w:r w:rsidR="00AC4B0A" w:rsidRPr="005A4656">
        <w:rPr>
          <w:rFonts w:ascii="Times New Roman" w:hAnsi="Times New Roman" w:cs="Times New Roman"/>
          <w:sz w:val="26"/>
          <w:szCs w:val="26"/>
        </w:rPr>
        <w:t xml:space="preserve">”. </w:t>
      </w:r>
    </w:p>
    <w:p w:rsidR="004D71AE" w:rsidRPr="005A4656" w:rsidRDefault="004D71AE" w:rsidP="004D71AE">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A me sembra che la fattispecie trattata dalla Plenaria con la sentenza del 5 giugno 2012, n. 19, sia essenzialmente diversa da quella successivamente trattata e decisa nel 2018 (come del resto riconosce pure quest’ultima), oggetto delle presenti riflessioni e conduca a conseguenze di</w:t>
      </w:r>
      <w:r w:rsidR="00A872AC">
        <w:rPr>
          <w:rFonts w:ascii="Times New Roman" w:hAnsi="Times New Roman" w:cs="Times New Roman"/>
          <w:sz w:val="26"/>
          <w:szCs w:val="26"/>
        </w:rPr>
        <w:t>fferenti</w:t>
      </w:r>
      <w:r w:rsidRPr="005A4656">
        <w:rPr>
          <w:rFonts w:ascii="Times New Roman" w:hAnsi="Times New Roman" w:cs="Times New Roman"/>
          <w:sz w:val="26"/>
          <w:szCs w:val="26"/>
        </w:rPr>
        <w:t>. Ben vero, con la decisione del 2018 la Plenaria sembra voler rassicurare le ditte interdette</w:t>
      </w:r>
      <w:r w:rsidR="00A872AC">
        <w:rPr>
          <w:rFonts w:ascii="Times New Roman" w:hAnsi="Times New Roman" w:cs="Times New Roman"/>
          <w:sz w:val="26"/>
          <w:szCs w:val="26"/>
        </w:rPr>
        <w:t>,</w:t>
      </w:r>
      <w:r w:rsidRPr="005A4656">
        <w:rPr>
          <w:rFonts w:ascii="Times New Roman" w:hAnsi="Times New Roman" w:cs="Times New Roman"/>
          <w:sz w:val="26"/>
          <w:szCs w:val="26"/>
        </w:rPr>
        <w:t xml:space="preserve"> affermando che l’incapacità giuridica conseguente al provvedimento prefettizio è ‘parziale’ e ‘temporanea’. Parziale, in quanto tali ditte non possono intrattenere rapporti limitatamente alle pubbliche amministrazioni; temporanea (o meglio, </w:t>
      </w:r>
      <w:r w:rsidRPr="00A872AC">
        <w:rPr>
          <w:rFonts w:ascii="Times New Roman" w:hAnsi="Times New Roman" w:cs="Times New Roman"/>
          <w:i/>
          <w:sz w:val="26"/>
          <w:szCs w:val="26"/>
        </w:rPr>
        <w:t>tendenzialmente</w:t>
      </w:r>
      <w:r w:rsidRPr="005A4656">
        <w:rPr>
          <w:rFonts w:ascii="Times New Roman" w:hAnsi="Times New Roman" w:cs="Times New Roman"/>
          <w:sz w:val="26"/>
          <w:szCs w:val="26"/>
        </w:rPr>
        <w:t xml:space="preserve"> temporanea), perché destinata ad avere efficacia sino alla sua revoca disposta dal Prefetto una volta constatata la sopravvenuta carenza dei presupposti che avevano imposto l’atto inibitorio. Senonché, diversamente dalla fattispecie in cui la ditta interdetta riesca ad ottenere una sentenza di condanna al risarcimento dei danni, valida ma caratterizzata da una condizione legale di natura sospensiva, nel caso di mancato rilascio di provvidenze, contributi, ecc. (nella specie </w:t>
      </w:r>
      <w:proofErr w:type="spellStart"/>
      <w:r w:rsidRPr="005A4656">
        <w:rPr>
          <w:rFonts w:ascii="Times New Roman" w:hAnsi="Times New Roman" w:cs="Times New Roman"/>
          <w:sz w:val="26"/>
          <w:szCs w:val="26"/>
        </w:rPr>
        <w:t>trattavasi</w:t>
      </w:r>
      <w:proofErr w:type="spellEnd"/>
      <w:r w:rsidRPr="005A4656">
        <w:rPr>
          <w:rFonts w:ascii="Times New Roman" w:hAnsi="Times New Roman" w:cs="Times New Roman"/>
          <w:sz w:val="26"/>
          <w:szCs w:val="26"/>
        </w:rPr>
        <w:t xml:space="preserve"> di contributi richiesti e negati per l’abbattimento di capi bufalini infetti da brucellosi), </w:t>
      </w:r>
      <w:r w:rsidR="00A872AC">
        <w:rPr>
          <w:rFonts w:ascii="Times New Roman" w:hAnsi="Times New Roman" w:cs="Times New Roman"/>
          <w:sz w:val="26"/>
          <w:szCs w:val="26"/>
        </w:rPr>
        <w:t xml:space="preserve">se </w:t>
      </w:r>
      <w:r w:rsidRPr="005A4656">
        <w:rPr>
          <w:rFonts w:ascii="Times New Roman" w:hAnsi="Times New Roman" w:cs="Times New Roman"/>
          <w:sz w:val="26"/>
          <w:szCs w:val="26"/>
        </w:rPr>
        <w:t xml:space="preserve">l’interdittiva resta </w:t>
      </w:r>
      <w:proofErr w:type="spellStart"/>
      <w:r w:rsidRPr="005A4656">
        <w:rPr>
          <w:rFonts w:ascii="Times New Roman" w:hAnsi="Times New Roman" w:cs="Times New Roman"/>
          <w:sz w:val="26"/>
          <w:szCs w:val="26"/>
        </w:rPr>
        <w:t>inoppugnata</w:t>
      </w:r>
      <w:proofErr w:type="spellEnd"/>
      <w:r w:rsidRPr="005A4656">
        <w:rPr>
          <w:rFonts w:ascii="Times New Roman" w:hAnsi="Times New Roman" w:cs="Times New Roman"/>
          <w:sz w:val="26"/>
          <w:szCs w:val="26"/>
        </w:rPr>
        <w:t xml:space="preserve">, oppure viene reputata </w:t>
      </w:r>
      <w:r w:rsidR="00DB07BA" w:rsidRPr="005A4656">
        <w:rPr>
          <w:rFonts w:ascii="Times New Roman" w:hAnsi="Times New Roman" w:cs="Times New Roman"/>
          <w:sz w:val="26"/>
          <w:szCs w:val="26"/>
        </w:rPr>
        <w:t xml:space="preserve">legittima </w:t>
      </w:r>
      <w:r w:rsidRPr="005A4656">
        <w:rPr>
          <w:rFonts w:ascii="Times New Roman" w:hAnsi="Times New Roman" w:cs="Times New Roman"/>
          <w:sz w:val="26"/>
          <w:szCs w:val="26"/>
        </w:rPr>
        <w:t>dal giudice dell</w:t>
      </w:r>
      <w:r w:rsidR="00A872AC">
        <w:rPr>
          <w:rFonts w:ascii="Times New Roman" w:hAnsi="Times New Roman" w:cs="Times New Roman"/>
          <w:sz w:val="26"/>
          <w:szCs w:val="26"/>
        </w:rPr>
        <w:t>’</w:t>
      </w:r>
      <w:r w:rsidRPr="005A4656">
        <w:rPr>
          <w:rFonts w:ascii="Times New Roman" w:hAnsi="Times New Roman" w:cs="Times New Roman"/>
          <w:sz w:val="26"/>
          <w:szCs w:val="26"/>
        </w:rPr>
        <w:t xml:space="preserve">impugnazione, il beneficio non potrà giammai essere conseguito. </w:t>
      </w:r>
    </w:p>
    <w:p w:rsidR="004D71AE" w:rsidRPr="005A4656" w:rsidRDefault="004D71AE" w:rsidP="004D71AE">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Da qui una riflessione. Dall’esame della casistica sono assai rari i casi in cui l’autorità prefettizia, pur in presenza di ampio decorso del tempo dall</w:t>
      </w:r>
      <w:r w:rsidR="00DB07BA" w:rsidRPr="005A4656">
        <w:rPr>
          <w:rFonts w:ascii="Times New Roman" w:hAnsi="Times New Roman" w:cs="Times New Roman"/>
          <w:sz w:val="26"/>
          <w:szCs w:val="26"/>
        </w:rPr>
        <w:t>’</w:t>
      </w:r>
      <w:r w:rsidRPr="005A4656">
        <w:rPr>
          <w:rFonts w:ascii="Times New Roman" w:hAnsi="Times New Roman" w:cs="Times New Roman"/>
          <w:sz w:val="26"/>
          <w:szCs w:val="26"/>
        </w:rPr>
        <w:t>interdittiva, oppure di sentenze assolutorie rese in sede penale, emana un atto per così dire riabilitativo, revocando l’interdittiva. L’unica possibilità offerta ai titolari della ditta in precedenza interdetta per poter conseguire la ‘riabilitazione’ sembra consistere nella cessione dell’impresa, ovviamente a soggetti che non siano legati da rapporti di parentela e non abbiano sub</w:t>
      </w:r>
      <w:r w:rsidR="00DB07BA" w:rsidRPr="005A4656">
        <w:rPr>
          <w:rFonts w:ascii="Times New Roman" w:hAnsi="Times New Roman" w:cs="Times New Roman"/>
          <w:sz w:val="26"/>
          <w:szCs w:val="26"/>
        </w:rPr>
        <w:t>ì</w:t>
      </w:r>
      <w:r w:rsidRPr="005A4656">
        <w:rPr>
          <w:rFonts w:ascii="Times New Roman" w:hAnsi="Times New Roman" w:cs="Times New Roman"/>
          <w:sz w:val="26"/>
          <w:szCs w:val="26"/>
        </w:rPr>
        <w:t>to alcun intervento vuoi dell’autorità di polizia giudiziaria (o della magistratura inquirente, men che meno di quella giudicante penale), vuoi dell’autorità prefettizia.</w:t>
      </w:r>
      <w:r w:rsidR="00A45B18">
        <w:rPr>
          <w:rFonts w:ascii="Times New Roman" w:hAnsi="Times New Roman" w:cs="Times New Roman"/>
          <w:sz w:val="26"/>
          <w:szCs w:val="26"/>
        </w:rPr>
        <w:t xml:space="preserve"> Generalmente si assiste al fenomeno del controllo ‘debole’ operato dal </w:t>
      </w:r>
      <w:r w:rsidR="00A45B18">
        <w:rPr>
          <w:rFonts w:ascii="Times New Roman" w:hAnsi="Times New Roman" w:cs="Times New Roman"/>
          <w:sz w:val="26"/>
          <w:szCs w:val="26"/>
        </w:rPr>
        <w:lastRenderedPageBreak/>
        <w:t xml:space="preserve">Giudice amministrativo sull’esercizio del potere, ritenuto latamente discrezionale, dell’autorità prefettizia. </w:t>
      </w:r>
      <w:r w:rsidRPr="005A4656">
        <w:rPr>
          <w:rFonts w:ascii="Times New Roman" w:hAnsi="Times New Roman" w:cs="Times New Roman"/>
          <w:sz w:val="26"/>
          <w:szCs w:val="26"/>
        </w:rPr>
        <w:t xml:space="preserve"> </w:t>
      </w:r>
    </w:p>
    <w:p w:rsidR="00596935" w:rsidRPr="005A4656" w:rsidRDefault="00A45B18" w:rsidP="00945E67">
      <w:pPr>
        <w:pStyle w:val="sentnormal"/>
        <w:spacing w:before="0" w:beforeAutospacing="0" w:after="0" w:afterAutospacing="0" w:line="360" w:lineRule="auto"/>
        <w:jc w:val="both"/>
        <w:rPr>
          <w:sz w:val="26"/>
          <w:szCs w:val="26"/>
        </w:rPr>
      </w:pPr>
      <w:r>
        <w:rPr>
          <w:sz w:val="26"/>
          <w:szCs w:val="26"/>
        </w:rPr>
        <w:t>Ora, tornando all’esame</w:t>
      </w:r>
      <w:r w:rsidRPr="00A45B18">
        <w:rPr>
          <w:sz w:val="26"/>
          <w:szCs w:val="26"/>
        </w:rPr>
        <w:t xml:space="preserve"> </w:t>
      </w:r>
      <w:r>
        <w:rPr>
          <w:sz w:val="26"/>
          <w:szCs w:val="26"/>
        </w:rPr>
        <w:t>del</w:t>
      </w:r>
      <w:r w:rsidRPr="005A4656">
        <w:rPr>
          <w:sz w:val="26"/>
          <w:szCs w:val="26"/>
        </w:rPr>
        <w:t>la decisione del 2018</w:t>
      </w:r>
      <w:r>
        <w:rPr>
          <w:sz w:val="26"/>
          <w:szCs w:val="26"/>
        </w:rPr>
        <w:t xml:space="preserve"> i</w:t>
      </w:r>
      <w:r w:rsidR="00596935" w:rsidRPr="005A4656">
        <w:rPr>
          <w:sz w:val="26"/>
          <w:szCs w:val="26"/>
        </w:rPr>
        <w:t xml:space="preserve">l supremo Giudice della nomofilachia amministrativa pone a fondamento della sua asserzione due aspetti: </w:t>
      </w:r>
    </w:p>
    <w:p w:rsidR="00596935" w:rsidRPr="005A4656" w:rsidRDefault="00596935" w:rsidP="00945E67">
      <w:pPr>
        <w:pStyle w:val="sentnormal"/>
        <w:spacing w:before="0" w:beforeAutospacing="0" w:after="0" w:afterAutospacing="0" w:line="360" w:lineRule="auto"/>
        <w:jc w:val="both"/>
        <w:rPr>
          <w:i/>
          <w:sz w:val="26"/>
          <w:szCs w:val="26"/>
        </w:rPr>
      </w:pPr>
      <w:r w:rsidRPr="005A4656">
        <w:rPr>
          <w:sz w:val="26"/>
          <w:szCs w:val="26"/>
        </w:rPr>
        <w:t>a) “</w:t>
      </w:r>
      <w:r w:rsidRPr="005A4656">
        <w:rPr>
          <w:i/>
          <w:sz w:val="26"/>
          <w:szCs w:val="26"/>
        </w:rPr>
        <w:t xml:space="preserve">In sostanza - ed è questa la </w:t>
      </w:r>
      <w:r w:rsidRPr="005A4656">
        <w:rPr>
          <w:iCs/>
          <w:sz w:val="26"/>
          <w:szCs w:val="26"/>
        </w:rPr>
        <w:t>ratio</w:t>
      </w:r>
      <w:r w:rsidRPr="005A4656">
        <w:rPr>
          <w:i/>
          <w:iCs/>
          <w:sz w:val="26"/>
          <w:szCs w:val="26"/>
        </w:rPr>
        <w:t xml:space="preserve"> </w:t>
      </w:r>
      <w:r w:rsidRPr="005A4656">
        <w:rPr>
          <w:i/>
          <w:sz w:val="26"/>
          <w:szCs w:val="26"/>
        </w:rPr>
        <w:t xml:space="preserve">della norma - </w:t>
      </w:r>
      <w:r w:rsidRPr="005A4656">
        <w:rPr>
          <w:b/>
          <w:i/>
          <w:sz w:val="26"/>
          <w:szCs w:val="26"/>
        </w:rPr>
        <w:t>il legislatore intende impedire ogni attribuzione patrimoniale da parte della Pubblica Amministrazione in favore di tali soggetti, di modo che l’art. 67, comma 1, lett. g) del Codice delle leggi antimafia non può che essere interpretato se non nel senso di riferirsi a qualunque tipo di esborso proveniente dalla P.A.</w:t>
      </w:r>
      <w:r w:rsidRPr="005A4656">
        <w:rPr>
          <w:i/>
          <w:sz w:val="26"/>
          <w:szCs w:val="26"/>
        </w:rPr>
        <w:t xml:space="preserve"> E tale finalità – in linea con quanto innanzi affermato in ordine agli effetti della interdittiva antimafia – è perseguita dal legislatore per il tramite di una tendenzialmente (temporanea) perdita, per l’imprenditore, della possibilità di essere titolare, nei confronti della Pubblica Amministrazione, delle posizioni giuridiche riferite alle ipotesi puntualmente indicate nell’art. 67 cit.”; </w:t>
      </w:r>
    </w:p>
    <w:p w:rsidR="00596935" w:rsidRPr="005A4656" w:rsidRDefault="00596935" w:rsidP="00945E67">
      <w:pPr>
        <w:pStyle w:val="sentnormal"/>
        <w:spacing w:before="0" w:beforeAutospacing="0" w:after="0" w:afterAutospacing="0" w:line="360" w:lineRule="auto"/>
        <w:jc w:val="both"/>
        <w:rPr>
          <w:i/>
          <w:sz w:val="26"/>
          <w:szCs w:val="26"/>
        </w:rPr>
      </w:pPr>
      <w:r w:rsidRPr="005A4656">
        <w:rPr>
          <w:sz w:val="26"/>
          <w:szCs w:val="26"/>
        </w:rPr>
        <w:t>b) “</w:t>
      </w:r>
      <w:r w:rsidRPr="005A4656">
        <w:rPr>
          <w:i/>
          <w:sz w:val="26"/>
          <w:szCs w:val="26"/>
        </w:rPr>
        <w:t>non può assumere rilievo in senso contrario l</w:t>
      </w:r>
      <w:r w:rsidR="004A715C" w:rsidRPr="005A4656">
        <w:rPr>
          <w:i/>
          <w:sz w:val="26"/>
          <w:szCs w:val="26"/>
        </w:rPr>
        <w:t>’</w:t>
      </w:r>
      <w:r w:rsidRPr="005A4656">
        <w:rPr>
          <w:i/>
          <w:sz w:val="26"/>
          <w:szCs w:val="26"/>
        </w:rPr>
        <w:t>argomento che sembrerebbe potersi trarre dalla disposizione citata, laddove, oltre al divieto di disporre ‘contributi, finanziamenti e mutui agevolati’ (casi specificamente indicati), si ricomprendono nel divieto (in senso, per così dire, più ‘generale’) anche ‘altre erogazioni dello stesso tipo, comunque denominate’. L</w:t>
      </w:r>
      <w:r w:rsidR="004A715C" w:rsidRPr="005A4656">
        <w:rPr>
          <w:i/>
          <w:sz w:val="26"/>
          <w:szCs w:val="26"/>
        </w:rPr>
        <w:t>’</w:t>
      </w:r>
      <w:r w:rsidRPr="005A4656">
        <w:rPr>
          <w:i/>
          <w:sz w:val="26"/>
          <w:szCs w:val="26"/>
        </w:rPr>
        <w:t>argomento sostenuto dalla ricorrente (v. pagg. 6-7 memoria cit.) - e che fa leva sull</w:t>
      </w:r>
      <w:r w:rsidR="00B13553" w:rsidRPr="005A4656">
        <w:rPr>
          <w:i/>
          <w:sz w:val="26"/>
          <w:szCs w:val="26"/>
        </w:rPr>
        <w:t>’</w:t>
      </w:r>
      <w:r w:rsidRPr="005A4656">
        <w:rPr>
          <w:i/>
          <w:sz w:val="26"/>
          <w:szCs w:val="26"/>
        </w:rPr>
        <w:t xml:space="preserve">espressione ‘dello stesso tipo’ che indicherebbe una riconducibilità delle erogazioni al </w:t>
      </w:r>
      <w:proofErr w:type="spellStart"/>
      <w:r w:rsidRPr="005A4656">
        <w:rPr>
          <w:sz w:val="26"/>
          <w:szCs w:val="26"/>
        </w:rPr>
        <w:t>genus</w:t>
      </w:r>
      <w:proofErr w:type="spellEnd"/>
      <w:r w:rsidRPr="005A4656">
        <w:rPr>
          <w:i/>
          <w:sz w:val="26"/>
          <w:szCs w:val="26"/>
        </w:rPr>
        <w:t xml:space="preserve"> delle ‘provvidenze’ e quindi escluderebbe le somme da corrispondersi a titolo di risarcimento - appare, come spesso nelle interpretazioni meramente letterali, poco persuasivo, essendo facilmente controvertibile. Ed infatti, alla ricostruzione interpretativa ora riportata, ben può opporsi che gli istituti espressamente contemplati dal legislatore (contributi, finanziamenti, mutui agevolati) rientrano tutti nella più ampia categoria delle obbligazioni pecuniarie pubbliche, di modo che lo ‘stesso tipo’ entro il quale rientrano le ‘altre erogazioni’ interdette, ben può essere inteso come il </w:t>
      </w:r>
      <w:proofErr w:type="spellStart"/>
      <w:r w:rsidRPr="005A4656">
        <w:rPr>
          <w:sz w:val="26"/>
          <w:szCs w:val="26"/>
        </w:rPr>
        <w:t>genus</w:t>
      </w:r>
      <w:proofErr w:type="spellEnd"/>
      <w:r w:rsidRPr="005A4656">
        <w:rPr>
          <w:i/>
          <w:sz w:val="26"/>
          <w:szCs w:val="26"/>
        </w:rPr>
        <w:t xml:space="preserve"> delle obbligazioni pecuniarie poste a carico della Pubblica Amministrazione, quale che ne sia la fonte e la causa.”</w:t>
      </w:r>
    </w:p>
    <w:p w:rsidR="00596935" w:rsidRPr="005A4656" w:rsidRDefault="004A715C" w:rsidP="00945E67">
      <w:pPr>
        <w:pStyle w:val="sentnormal"/>
        <w:spacing w:before="0" w:beforeAutospacing="0" w:after="0" w:afterAutospacing="0" w:line="360" w:lineRule="auto"/>
        <w:jc w:val="both"/>
        <w:rPr>
          <w:sz w:val="26"/>
          <w:szCs w:val="26"/>
        </w:rPr>
      </w:pPr>
      <w:r w:rsidRPr="005A4656">
        <w:rPr>
          <w:b/>
          <w:sz w:val="26"/>
          <w:szCs w:val="26"/>
        </w:rPr>
        <w:t>3.</w:t>
      </w:r>
      <w:r w:rsidRPr="005A4656">
        <w:rPr>
          <w:sz w:val="26"/>
          <w:szCs w:val="26"/>
        </w:rPr>
        <w:t xml:space="preserve"> </w:t>
      </w:r>
      <w:r w:rsidR="00596935" w:rsidRPr="005A4656">
        <w:rPr>
          <w:sz w:val="26"/>
          <w:szCs w:val="26"/>
        </w:rPr>
        <w:t>Entrambi questi punti motivazionali non paiono convincenti.</w:t>
      </w:r>
    </w:p>
    <w:p w:rsidR="00F17E0D" w:rsidRPr="005A4656" w:rsidRDefault="00596935" w:rsidP="00945E67">
      <w:pPr>
        <w:pStyle w:val="sentnormal"/>
        <w:spacing w:before="0" w:beforeAutospacing="0" w:after="0" w:afterAutospacing="0" w:line="360" w:lineRule="auto"/>
        <w:jc w:val="both"/>
        <w:rPr>
          <w:sz w:val="26"/>
          <w:szCs w:val="26"/>
        </w:rPr>
      </w:pPr>
      <w:r w:rsidRPr="005A4656">
        <w:rPr>
          <w:sz w:val="26"/>
          <w:szCs w:val="26"/>
        </w:rPr>
        <w:lastRenderedPageBreak/>
        <w:t xml:space="preserve">Iniziamo con il secondo. </w:t>
      </w:r>
      <w:r w:rsidR="00DB07BA" w:rsidRPr="005A4656">
        <w:rPr>
          <w:sz w:val="26"/>
          <w:szCs w:val="26"/>
        </w:rPr>
        <w:t xml:space="preserve">Se è </w:t>
      </w:r>
      <w:r w:rsidRPr="005A4656">
        <w:rPr>
          <w:sz w:val="26"/>
          <w:szCs w:val="26"/>
        </w:rPr>
        <w:t>condivisibile l’</w:t>
      </w:r>
      <w:r w:rsidR="004A715C" w:rsidRPr="005A4656">
        <w:rPr>
          <w:sz w:val="26"/>
          <w:szCs w:val="26"/>
        </w:rPr>
        <w:t>opinione espressa dal Supremo Giudice amministrativo</w:t>
      </w:r>
      <w:r w:rsidR="00DB07BA" w:rsidRPr="005A4656">
        <w:rPr>
          <w:sz w:val="26"/>
          <w:szCs w:val="26"/>
        </w:rPr>
        <w:t>,</w:t>
      </w:r>
      <w:r w:rsidR="004A715C" w:rsidRPr="005A4656">
        <w:rPr>
          <w:sz w:val="26"/>
          <w:szCs w:val="26"/>
        </w:rPr>
        <w:t xml:space="preserve"> </w:t>
      </w:r>
      <w:r w:rsidRPr="005A4656">
        <w:rPr>
          <w:sz w:val="26"/>
          <w:szCs w:val="26"/>
        </w:rPr>
        <w:t xml:space="preserve">secondo cui </w:t>
      </w:r>
      <w:r w:rsidRPr="005A4656">
        <w:rPr>
          <w:i/>
          <w:sz w:val="26"/>
          <w:szCs w:val="26"/>
        </w:rPr>
        <w:t xml:space="preserve">contributi, finanziamenti e mutui agevolati </w:t>
      </w:r>
      <w:r w:rsidR="00B13553" w:rsidRPr="005A4656">
        <w:rPr>
          <w:sz w:val="26"/>
          <w:szCs w:val="26"/>
        </w:rPr>
        <w:t xml:space="preserve">non </w:t>
      </w:r>
      <w:r w:rsidRPr="005A4656">
        <w:rPr>
          <w:sz w:val="26"/>
          <w:szCs w:val="26"/>
        </w:rPr>
        <w:t>apparte</w:t>
      </w:r>
      <w:r w:rsidR="00022C89" w:rsidRPr="005A4656">
        <w:rPr>
          <w:sz w:val="26"/>
          <w:szCs w:val="26"/>
        </w:rPr>
        <w:t>ngono</w:t>
      </w:r>
      <w:r w:rsidRPr="005A4656">
        <w:rPr>
          <w:sz w:val="26"/>
          <w:szCs w:val="26"/>
        </w:rPr>
        <w:t xml:space="preserve"> al </w:t>
      </w:r>
      <w:proofErr w:type="spellStart"/>
      <w:r w:rsidRPr="005A4656">
        <w:rPr>
          <w:i/>
          <w:sz w:val="26"/>
          <w:szCs w:val="26"/>
        </w:rPr>
        <w:t>genus</w:t>
      </w:r>
      <w:proofErr w:type="spellEnd"/>
      <w:r w:rsidRPr="005A4656">
        <w:rPr>
          <w:sz w:val="26"/>
          <w:szCs w:val="26"/>
        </w:rPr>
        <w:t xml:space="preserve"> delle ‘provvidenze’, </w:t>
      </w:r>
      <w:r w:rsidR="00DB07BA" w:rsidRPr="005A4656">
        <w:rPr>
          <w:sz w:val="26"/>
          <w:szCs w:val="26"/>
        </w:rPr>
        <w:t>tra i quali</w:t>
      </w:r>
      <w:r w:rsidR="00B13553" w:rsidRPr="005A4656">
        <w:rPr>
          <w:sz w:val="26"/>
          <w:szCs w:val="26"/>
        </w:rPr>
        <w:t>, a detta della difesa della ditta interdetta,</w:t>
      </w:r>
      <w:r w:rsidRPr="005A4656">
        <w:rPr>
          <w:sz w:val="26"/>
          <w:szCs w:val="26"/>
        </w:rPr>
        <w:t xml:space="preserve"> vi sarebbe da </w:t>
      </w:r>
      <w:r w:rsidR="00DB07BA" w:rsidRPr="005A4656">
        <w:rPr>
          <w:sz w:val="26"/>
          <w:szCs w:val="26"/>
        </w:rPr>
        <w:t>ri</w:t>
      </w:r>
      <w:r w:rsidRPr="005A4656">
        <w:rPr>
          <w:sz w:val="26"/>
          <w:szCs w:val="26"/>
        </w:rPr>
        <w:t xml:space="preserve">comprendere </w:t>
      </w:r>
      <w:r w:rsidR="004A715C" w:rsidRPr="005A4656">
        <w:rPr>
          <w:sz w:val="26"/>
          <w:szCs w:val="26"/>
        </w:rPr>
        <w:t xml:space="preserve">anche </w:t>
      </w:r>
      <w:r w:rsidR="00B13553" w:rsidRPr="005A4656">
        <w:rPr>
          <w:sz w:val="26"/>
          <w:szCs w:val="26"/>
        </w:rPr>
        <w:t xml:space="preserve">la corresponsione </w:t>
      </w:r>
      <w:r w:rsidRPr="005A4656">
        <w:rPr>
          <w:sz w:val="26"/>
          <w:szCs w:val="26"/>
        </w:rPr>
        <w:t>di una somma a titolo risarcitorio</w:t>
      </w:r>
      <w:r w:rsidR="00DB07BA" w:rsidRPr="005A4656">
        <w:rPr>
          <w:sz w:val="26"/>
          <w:szCs w:val="26"/>
        </w:rPr>
        <w:t>:</w:t>
      </w:r>
      <w:r w:rsidRPr="005A4656">
        <w:rPr>
          <w:sz w:val="26"/>
          <w:szCs w:val="26"/>
        </w:rPr>
        <w:t xml:space="preserve"> </w:t>
      </w:r>
      <w:r w:rsidR="00DB07BA" w:rsidRPr="005A4656">
        <w:rPr>
          <w:sz w:val="26"/>
          <w:szCs w:val="26"/>
        </w:rPr>
        <w:t>i</w:t>
      </w:r>
      <w:r w:rsidRPr="005A4656">
        <w:rPr>
          <w:sz w:val="26"/>
          <w:szCs w:val="26"/>
        </w:rPr>
        <w:t>nfatti, posta la impalpabilità giuridica del concetto ‘provvidenza’, di certo non sembra che possa rinvenirsi nell’</w:t>
      </w:r>
      <w:r w:rsidR="00B92DBD" w:rsidRPr="005A4656">
        <w:rPr>
          <w:sz w:val="26"/>
          <w:szCs w:val="26"/>
        </w:rPr>
        <w:t>ordinamento un</w:t>
      </w:r>
      <w:r w:rsidR="00A45B18">
        <w:rPr>
          <w:sz w:val="26"/>
          <w:szCs w:val="26"/>
        </w:rPr>
        <w:t>’</w:t>
      </w:r>
      <w:r w:rsidR="00B92DBD" w:rsidRPr="005A4656">
        <w:rPr>
          <w:sz w:val="26"/>
          <w:szCs w:val="26"/>
        </w:rPr>
        <w:t xml:space="preserve">astratta fattispecie o categoria di </w:t>
      </w:r>
      <w:r w:rsidR="00022C89" w:rsidRPr="005A4656">
        <w:rPr>
          <w:sz w:val="26"/>
          <w:szCs w:val="26"/>
        </w:rPr>
        <w:t>tal tipo</w:t>
      </w:r>
      <w:r w:rsidR="00DB07BA" w:rsidRPr="005A4656">
        <w:rPr>
          <w:sz w:val="26"/>
          <w:szCs w:val="26"/>
        </w:rPr>
        <w:t>; t</w:t>
      </w:r>
      <w:r w:rsidR="00B13553" w:rsidRPr="005A4656">
        <w:rPr>
          <w:sz w:val="26"/>
          <w:szCs w:val="26"/>
        </w:rPr>
        <w:t>uttavia, d</w:t>
      </w:r>
      <w:r w:rsidR="00022C89" w:rsidRPr="005A4656">
        <w:rPr>
          <w:sz w:val="26"/>
          <w:szCs w:val="26"/>
        </w:rPr>
        <w:t>i contro,</w:t>
      </w:r>
      <w:r w:rsidR="00B92DBD" w:rsidRPr="005A4656">
        <w:rPr>
          <w:sz w:val="26"/>
          <w:szCs w:val="26"/>
        </w:rPr>
        <w:t xml:space="preserve"> non pare che possa</w:t>
      </w:r>
      <w:r w:rsidR="00B13553" w:rsidRPr="005A4656">
        <w:rPr>
          <w:sz w:val="26"/>
          <w:szCs w:val="26"/>
        </w:rPr>
        <w:t>no</w:t>
      </w:r>
      <w:r w:rsidR="00B92DBD" w:rsidRPr="005A4656">
        <w:rPr>
          <w:sz w:val="26"/>
          <w:szCs w:val="26"/>
        </w:rPr>
        <w:t xml:space="preserve"> </w:t>
      </w:r>
      <w:r w:rsidR="00022C89" w:rsidRPr="005A4656">
        <w:rPr>
          <w:sz w:val="26"/>
          <w:szCs w:val="26"/>
        </w:rPr>
        <w:t>sussumersi</w:t>
      </w:r>
      <w:r w:rsidR="00B13553" w:rsidRPr="005A4656">
        <w:rPr>
          <w:sz w:val="26"/>
          <w:szCs w:val="26"/>
        </w:rPr>
        <w:t>, come prospetta la Plenaria,</w:t>
      </w:r>
      <w:r w:rsidR="00022C89" w:rsidRPr="005A4656">
        <w:rPr>
          <w:sz w:val="26"/>
          <w:szCs w:val="26"/>
        </w:rPr>
        <w:t xml:space="preserve"> </w:t>
      </w:r>
      <w:r w:rsidR="00D65445" w:rsidRPr="005A4656">
        <w:rPr>
          <w:sz w:val="26"/>
          <w:szCs w:val="26"/>
        </w:rPr>
        <w:t xml:space="preserve">i </w:t>
      </w:r>
      <w:r w:rsidR="00B92DBD" w:rsidRPr="005A4656">
        <w:rPr>
          <w:i/>
          <w:sz w:val="26"/>
          <w:szCs w:val="26"/>
        </w:rPr>
        <w:t>contributi, finanziamenti e mutui agevolati</w:t>
      </w:r>
      <w:r w:rsidR="00D65445" w:rsidRPr="005A4656">
        <w:rPr>
          <w:sz w:val="26"/>
          <w:szCs w:val="26"/>
        </w:rPr>
        <w:t xml:space="preserve"> </w:t>
      </w:r>
      <w:r w:rsidR="00022C89" w:rsidRPr="005A4656">
        <w:rPr>
          <w:sz w:val="26"/>
          <w:szCs w:val="26"/>
        </w:rPr>
        <w:t>n</w:t>
      </w:r>
      <w:r w:rsidR="00B13553" w:rsidRPr="005A4656">
        <w:rPr>
          <w:sz w:val="26"/>
          <w:szCs w:val="26"/>
        </w:rPr>
        <w:t>el</w:t>
      </w:r>
      <w:r w:rsidR="00D65445" w:rsidRPr="005A4656">
        <w:rPr>
          <w:sz w:val="26"/>
          <w:szCs w:val="26"/>
        </w:rPr>
        <w:t xml:space="preserve"> </w:t>
      </w:r>
      <w:proofErr w:type="spellStart"/>
      <w:r w:rsidR="00D65445" w:rsidRPr="005A4656">
        <w:rPr>
          <w:i/>
          <w:sz w:val="26"/>
          <w:szCs w:val="26"/>
        </w:rPr>
        <w:t>genus</w:t>
      </w:r>
      <w:proofErr w:type="spellEnd"/>
      <w:r w:rsidR="00D65445" w:rsidRPr="005A4656">
        <w:rPr>
          <w:sz w:val="26"/>
          <w:szCs w:val="26"/>
        </w:rPr>
        <w:t xml:space="preserve"> </w:t>
      </w:r>
      <w:r w:rsidR="00B13553" w:rsidRPr="005A4656">
        <w:rPr>
          <w:sz w:val="26"/>
          <w:szCs w:val="26"/>
        </w:rPr>
        <w:t>in cui</w:t>
      </w:r>
      <w:r w:rsidR="00D65445" w:rsidRPr="005A4656">
        <w:rPr>
          <w:sz w:val="26"/>
          <w:szCs w:val="26"/>
        </w:rPr>
        <w:t xml:space="preserve"> far confluire ogni</w:t>
      </w:r>
      <w:r w:rsidR="00022C89" w:rsidRPr="005A4656">
        <w:rPr>
          <w:sz w:val="26"/>
          <w:szCs w:val="26"/>
        </w:rPr>
        <w:t xml:space="preserve"> tipologia o fattispecie di</w:t>
      </w:r>
      <w:r w:rsidR="00D65445" w:rsidRPr="005A4656">
        <w:rPr>
          <w:sz w:val="26"/>
          <w:szCs w:val="26"/>
        </w:rPr>
        <w:t xml:space="preserve"> pagamento dello Stato e delle pubbliche amministrazioni </w:t>
      </w:r>
      <w:r w:rsidR="00DB07BA" w:rsidRPr="005A4656">
        <w:rPr>
          <w:sz w:val="26"/>
          <w:szCs w:val="26"/>
        </w:rPr>
        <w:t>in favore di</w:t>
      </w:r>
      <w:r w:rsidR="00D65445" w:rsidRPr="005A4656">
        <w:rPr>
          <w:sz w:val="26"/>
          <w:szCs w:val="26"/>
        </w:rPr>
        <w:t xml:space="preserve"> terzi</w:t>
      </w:r>
      <w:r w:rsidR="00481505" w:rsidRPr="005A4656">
        <w:rPr>
          <w:sz w:val="26"/>
          <w:szCs w:val="26"/>
        </w:rPr>
        <w:t xml:space="preserve"> (pubblici o privati che siano)</w:t>
      </w:r>
      <w:r w:rsidR="00B13553" w:rsidRPr="005A4656">
        <w:rPr>
          <w:sz w:val="26"/>
          <w:szCs w:val="26"/>
        </w:rPr>
        <w:t>. L</w:t>
      </w:r>
      <w:r w:rsidR="00D65445" w:rsidRPr="005A4656">
        <w:rPr>
          <w:sz w:val="26"/>
          <w:szCs w:val="26"/>
        </w:rPr>
        <w:t>a dottrina</w:t>
      </w:r>
      <w:r w:rsidR="00481505" w:rsidRPr="005A4656">
        <w:rPr>
          <w:sz w:val="26"/>
          <w:szCs w:val="26"/>
        </w:rPr>
        <w:t xml:space="preserve"> (</w:t>
      </w:r>
      <w:proofErr w:type="spellStart"/>
      <w:r w:rsidR="00481505" w:rsidRPr="005A4656">
        <w:rPr>
          <w:sz w:val="26"/>
          <w:szCs w:val="26"/>
        </w:rPr>
        <w:t>Amorth</w:t>
      </w:r>
      <w:proofErr w:type="spellEnd"/>
      <w:r w:rsidR="00481505" w:rsidRPr="005A4656">
        <w:rPr>
          <w:sz w:val="26"/>
          <w:szCs w:val="26"/>
        </w:rPr>
        <w:t>,</w:t>
      </w:r>
      <w:r w:rsidR="00267890" w:rsidRPr="005A4656">
        <w:rPr>
          <w:sz w:val="26"/>
          <w:szCs w:val="26"/>
        </w:rPr>
        <w:t xml:space="preserve"> </w:t>
      </w:r>
      <w:r w:rsidR="00267890" w:rsidRPr="005A4656">
        <w:rPr>
          <w:i/>
          <w:sz w:val="26"/>
          <w:szCs w:val="26"/>
        </w:rPr>
        <w:t>I contributi pecuniari concessi dallo Stato ad enti pubblici e privati</w:t>
      </w:r>
      <w:r w:rsidR="00267890" w:rsidRPr="005A4656">
        <w:rPr>
          <w:sz w:val="26"/>
          <w:szCs w:val="26"/>
        </w:rPr>
        <w:t xml:space="preserve">, in </w:t>
      </w:r>
      <w:r w:rsidR="00267890" w:rsidRPr="005A4656">
        <w:rPr>
          <w:i/>
          <w:sz w:val="26"/>
          <w:szCs w:val="26"/>
        </w:rPr>
        <w:t>Studi urbinati</w:t>
      </w:r>
      <w:r w:rsidR="00267890" w:rsidRPr="005A4656">
        <w:rPr>
          <w:sz w:val="26"/>
          <w:szCs w:val="26"/>
        </w:rPr>
        <w:t xml:space="preserve">, 1931; </w:t>
      </w:r>
      <w:proofErr w:type="spellStart"/>
      <w:r w:rsidR="00267890" w:rsidRPr="005A4656">
        <w:rPr>
          <w:sz w:val="26"/>
          <w:szCs w:val="26"/>
        </w:rPr>
        <w:t>Pericu</w:t>
      </w:r>
      <w:proofErr w:type="spellEnd"/>
      <w:r w:rsidR="00267890" w:rsidRPr="005A4656">
        <w:rPr>
          <w:sz w:val="26"/>
          <w:szCs w:val="26"/>
        </w:rPr>
        <w:t xml:space="preserve">, </w:t>
      </w:r>
      <w:r w:rsidR="00267890" w:rsidRPr="005A4656">
        <w:rPr>
          <w:i/>
          <w:sz w:val="26"/>
          <w:szCs w:val="26"/>
        </w:rPr>
        <w:t>Le sovvenzioni come strumento di azione amministrativa</w:t>
      </w:r>
      <w:r w:rsidR="00267890" w:rsidRPr="005A4656">
        <w:rPr>
          <w:sz w:val="26"/>
          <w:szCs w:val="26"/>
        </w:rPr>
        <w:t>, I e II, Milano, 1967;</w:t>
      </w:r>
      <w:r w:rsidR="00481505" w:rsidRPr="005A4656">
        <w:rPr>
          <w:sz w:val="26"/>
          <w:szCs w:val="26"/>
        </w:rPr>
        <w:t xml:space="preserve"> Spagnuolo Vigorita</w:t>
      </w:r>
      <w:r w:rsidR="00267890" w:rsidRPr="005A4656">
        <w:rPr>
          <w:sz w:val="26"/>
          <w:szCs w:val="26"/>
        </w:rPr>
        <w:t xml:space="preserve">, </w:t>
      </w:r>
      <w:r w:rsidR="00267890" w:rsidRPr="005A4656">
        <w:rPr>
          <w:i/>
          <w:sz w:val="26"/>
          <w:szCs w:val="26"/>
        </w:rPr>
        <w:t>Problemi giuridici dell’ausilio finanziario pubblico a privati</w:t>
      </w:r>
      <w:r w:rsidR="00267890" w:rsidRPr="005A4656">
        <w:rPr>
          <w:sz w:val="26"/>
          <w:szCs w:val="26"/>
        </w:rPr>
        <w:t xml:space="preserve">, </w:t>
      </w:r>
      <w:r w:rsidR="00CA1D32" w:rsidRPr="005A4656">
        <w:rPr>
          <w:sz w:val="26"/>
          <w:szCs w:val="26"/>
        </w:rPr>
        <w:t xml:space="preserve">in </w:t>
      </w:r>
      <w:proofErr w:type="spellStart"/>
      <w:r w:rsidR="00CA1D32" w:rsidRPr="005A4656">
        <w:rPr>
          <w:i/>
          <w:sz w:val="26"/>
          <w:szCs w:val="26"/>
        </w:rPr>
        <w:t>Rass</w:t>
      </w:r>
      <w:proofErr w:type="spellEnd"/>
      <w:r w:rsidR="00CA1D32" w:rsidRPr="005A4656">
        <w:rPr>
          <w:i/>
          <w:sz w:val="26"/>
          <w:szCs w:val="26"/>
        </w:rPr>
        <w:t xml:space="preserve">. </w:t>
      </w:r>
      <w:proofErr w:type="spellStart"/>
      <w:r w:rsidR="00CA1D32" w:rsidRPr="005A4656">
        <w:rPr>
          <w:i/>
          <w:sz w:val="26"/>
          <w:szCs w:val="26"/>
        </w:rPr>
        <w:t>econ</w:t>
      </w:r>
      <w:proofErr w:type="spellEnd"/>
      <w:r w:rsidR="00CA1D32" w:rsidRPr="005A4656">
        <w:rPr>
          <w:i/>
          <w:sz w:val="26"/>
          <w:szCs w:val="26"/>
        </w:rPr>
        <w:t>. Banco di Napoli</w:t>
      </w:r>
      <w:r w:rsidR="00CA1D32" w:rsidRPr="005A4656">
        <w:rPr>
          <w:sz w:val="26"/>
          <w:szCs w:val="26"/>
        </w:rPr>
        <w:t>, 1963;</w:t>
      </w:r>
      <w:r w:rsidR="00481505" w:rsidRPr="005A4656">
        <w:rPr>
          <w:sz w:val="26"/>
          <w:szCs w:val="26"/>
        </w:rPr>
        <w:t xml:space="preserve"> e, di recente, B. Lubrano</w:t>
      </w:r>
      <w:r w:rsidR="00CA1D32" w:rsidRPr="005A4656">
        <w:rPr>
          <w:sz w:val="26"/>
          <w:szCs w:val="26"/>
        </w:rPr>
        <w:t xml:space="preserve">, </w:t>
      </w:r>
      <w:r w:rsidR="00CA1D32" w:rsidRPr="005A4656">
        <w:rPr>
          <w:i/>
          <w:sz w:val="26"/>
          <w:szCs w:val="26"/>
        </w:rPr>
        <w:t>Le sovvenzioni nel diritto amministrativo</w:t>
      </w:r>
      <w:r w:rsidR="00CA1D32" w:rsidRPr="005A4656">
        <w:rPr>
          <w:sz w:val="26"/>
          <w:szCs w:val="26"/>
        </w:rPr>
        <w:t>, Torino, 2008)</w:t>
      </w:r>
      <w:r w:rsidR="00D65445" w:rsidRPr="005A4656">
        <w:rPr>
          <w:sz w:val="26"/>
          <w:szCs w:val="26"/>
        </w:rPr>
        <w:t xml:space="preserve"> ha</w:t>
      </w:r>
      <w:r w:rsidR="00481505" w:rsidRPr="005A4656">
        <w:rPr>
          <w:sz w:val="26"/>
          <w:szCs w:val="26"/>
        </w:rPr>
        <w:t xml:space="preserve"> da tempo</w:t>
      </w:r>
      <w:r w:rsidR="00D65445" w:rsidRPr="005A4656">
        <w:rPr>
          <w:sz w:val="26"/>
          <w:szCs w:val="26"/>
        </w:rPr>
        <w:t xml:space="preserve"> </w:t>
      </w:r>
      <w:r w:rsidR="00481505" w:rsidRPr="005A4656">
        <w:rPr>
          <w:sz w:val="26"/>
          <w:szCs w:val="26"/>
        </w:rPr>
        <w:t>fornito</w:t>
      </w:r>
      <w:r w:rsidR="00D65445" w:rsidRPr="005A4656">
        <w:rPr>
          <w:sz w:val="26"/>
          <w:szCs w:val="26"/>
        </w:rPr>
        <w:t xml:space="preserve"> un</w:t>
      </w:r>
      <w:r w:rsidR="00022C89" w:rsidRPr="005A4656">
        <w:rPr>
          <w:sz w:val="26"/>
          <w:szCs w:val="26"/>
        </w:rPr>
        <w:t>’</w:t>
      </w:r>
      <w:r w:rsidR="00481505" w:rsidRPr="005A4656">
        <w:rPr>
          <w:sz w:val="26"/>
          <w:szCs w:val="26"/>
        </w:rPr>
        <w:t xml:space="preserve">esaustiva </w:t>
      </w:r>
      <w:r w:rsidR="00D65445" w:rsidRPr="005A4656">
        <w:rPr>
          <w:sz w:val="26"/>
          <w:szCs w:val="26"/>
        </w:rPr>
        <w:t>definizione di</w:t>
      </w:r>
      <w:r w:rsidR="00481505" w:rsidRPr="005A4656">
        <w:rPr>
          <w:sz w:val="26"/>
          <w:szCs w:val="26"/>
        </w:rPr>
        <w:t xml:space="preserve"> sovvenzioni </w:t>
      </w:r>
      <w:r w:rsidR="00022C89" w:rsidRPr="005A4656">
        <w:rPr>
          <w:sz w:val="26"/>
          <w:szCs w:val="26"/>
        </w:rPr>
        <w:t xml:space="preserve">- </w:t>
      </w:r>
      <w:r w:rsidR="00481505" w:rsidRPr="005A4656">
        <w:rPr>
          <w:sz w:val="26"/>
          <w:szCs w:val="26"/>
        </w:rPr>
        <w:t>genericamente intese</w:t>
      </w:r>
      <w:r w:rsidR="00022C89" w:rsidRPr="005A4656">
        <w:rPr>
          <w:sz w:val="26"/>
          <w:szCs w:val="26"/>
        </w:rPr>
        <w:t xml:space="preserve"> </w:t>
      </w:r>
      <w:r w:rsidR="00481505" w:rsidRPr="005A4656">
        <w:rPr>
          <w:sz w:val="26"/>
          <w:szCs w:val="26"/>
        </w:rPr>
        <w:t>- quali aiuti che</w:t>
      </w:r>
      <w:r w:rsidR="00DB07BA" w:rsidRPr="005A4656">
        <w:rPr>
          <w:sz w:val="26"/>
          <w:szCs w:val="26"/>
        </w:rPr>
        <w:t>,</w:t>
      </w:r>
      <w:r w:rsidR="00481505" w:rsidRPr="005A4656">
        <w:rPr>
          <w:sz w:val="26"/>
          <w:szCs w:val="26"/>
        </w:rPr>
        <w:t xml:space="preserve"> nello Stato moderno</w:t>
      </w:r>
      <w:r w:rsidR="00DB07BA" w:rsidRPr="005A4656">
        <w:rPr>
          <w:sz w:val="26"/>
          <w:szCs w:val="26"/>
        </w:rPr>
        <w:t>,</w:t>
      </w:r>
      <w:r w:rsidR="00481505" w:rsidRPr="005A4656">
        <w:rPr>
          <w:sz w:val="26"/>
          <w:szCs w:val="26"/>
        </w:rPr>
        <w:t xml:space="preserve"> sono erogati senza che sia </w:t>
      </w:r>
      <w:r w:rsidR="00022C89" w:rsidRPr="005A4656">
        <w:rPr>
          <w:sz w:val="26"/>
          <w:szCs w:val="26"/>
        </w:rPr>
        <w:t>contemplata</w:t>
      </w:r>
      <w:r w:rsidR="00481505" w:rsidRPr="005A4656">
        <w:rPr>
          <w:sz w:val="26"/>
          <w:szCs w:val="26"/>
        </w:rPr>
        <w:t xml:space="preserve"> una controprestazione</w:t>
      </w:r>
      <w:r w:rsidR="00B13553" w:rsidRPr="005A4656">
        <w:rPr>
          <w:sz w:val="26"/>
          <w:szCs w:val="26"/>
        </w:rPr>
        <w:t xml:space="preserve"> di tipo economico</w:t>
      </w:r>
      <w:r w:rsidR="00481505" w:rsidRPr="005A4656">
        <w:rPr>
          <w:sz w:val="26"/>
          <w:szCs w:val="26"/>
        </w:rPr>
        <w:t xml:space="preserve">. Le esigenze di stimolare l’economia, pur nella disorganicità della disciplina normativa, hanno </w:t>
      </w:r>
      <w:r w:rsidR="00A45B18">
        <w:rPr>
          <w:sz w:val="26"/>
          <w:szCs w:val="26"/>
        </w:rPr>
        <w:t>prodotto</w:t>
      </w:r>
      <w:r w:rsidR="00481505" w:rsidRPr="005A4656">
        <w:rPr>
          <w:sz w:val="26"/>
          <w:szCs w:val="26"/>
        </w:rPr>
        <w:t xml:space="preserve"> una diversificazione de</w:t>
      </w:r>
      <w:r w:rsidR="00F17E0D" w:rsidRPr="005A4656">
        <w:rPr>
          <w:sz w:val="26"/>
          <w:szCs w:val="26"/>
        </w:rPr>
        <w:t>ll’intervento pubblico in numerose fattispecie, che in comune possiedono il carattere della mancanza di corrispettività</w:t>
      </w:r>
      <w:r w:rsidR="00022C89" w:rsidRPr="005A4656">
        <w:rPr>
          <w:sz w:val="26"/>
          <w:szCs w:val="26"/>
        </w:rPr>
        <w:t>,</w:t>
      </w:r>
      <w:r w:rsidR="00F17E0D" w:rsidRPr="005A4656">
        <w:rPr>
          <w:sz w:val="26"/>
          <w:szCs w:val="26"/>
        </w:rPr>
        <w:t xml:space="preserve"> da un lato</w:t>
      </w:r>
      <w:r w:rsidR="00022C89" w:rsidRPr="005A4656">
        <w:rPr>
          <w:sz w:val="26"/>
          <w:szCs w:val="26"/>
        </w:rPr>
        <w:t>,</w:t>
      </w:r>
      <w:r w:rsidR="00F17E0D" w:rsidRPr="005A4656">
        <w:rPr>
          <w:sz w:val="26"/>
          <w:szCs w:val="26"/>
        </w:rPr>
        <w:t xml:space="preserve"> e l</w:t>
      </w:r>
      <w:r w:rsidR="00DB07BA" w:rsidRPr="005A4656">
        <w:rPr>
          <w:sz w:val="26"/>
          <w:szCs w:val="26"/>
        </w:rPr>
        <w:t>’</w:t>
      </w:r>
      <w:r w:rsidR="00F17E0D" w:rsidRPr="005A4656">
        <w:rPr>
          <w:sz w:val="26"/>
          <w:szCs w:val="26"/>
        </w:rPr>
        <w:t>unilateralità della prestazione pubblica</w:t>
      </w:r>
      <w:r w:rsidR="00022C89" w:rsidRPr="005A4656">
        <w:rPr>
          <w:sz w:val="26"/>
          <w:szCs w:val="26"/>
        </w:rPr>
        <w:t>, dall’altro</w:t>
      </w:r>
      <w:r w:rsidR="00F17E0D" w:rsidRPr="005A4656">
        <w:rPr>
          <w:sz w:val="26"/>
          <w:szCs w:val="26"/>
        </w:rPr>
        <w:t>; tant’è che sotto la voce ‘aiuti di Stato’ la normativa europea comprende ogni forma di erogazione di somme, di cui molte proprie dello Stato sociale.</w:t>
      </w:r>
    </w:p>
    <w:p w:rsidR="007D6196" w:rsidRPr="005A4656" w:rsidRDefault="00B13553" w:rsidP="00945E67">
      <w:pPr>
        <w:pStyle w:val="sentnormal"/>
        <w:spacing w:before="0" w:beforeAutospacing="0" w:after="0" w:afterAutospacing="0" w:line="360" w:lineRule="auto"/>
        <w:jc w:val="both"/>
        <w:rPr>
          <w:sz w:val="26"/>
          <w:szCs w:val="26"/>
        </w:rPr>
      </w:pPr>
      <w:r w:rsidRPr="005A4656">
        <w:rPr>
          <w:sz w:val="26"/>
          <w:szCs w:val="26"/>
        </w:rPr>
        <w:t>Trattasi, quindi, di</w:t>
      </w:r>
      <w:r w:rsidR="00F17E0D" w:rsidRPr="005A4656">
        <w:rPr>
          <w:sz w:val="26"/>
          <w:szCs w:val="26"/>
        </w:rPr>
        <w:t xml:space="preserve"> varie </w:t>
      </w:r>
      <w:proofErr w:type="spellStart"/>
      <w:r w:rsidR="00F17E0D" w:rsidRPr="005A4656">
        <w:rPr>
          <w:i/>
          <w:sz w:val="26"/>
          <w:szCs w:val="26"/>
        </w:rPr>
        <w:t>species</w:t>
      </w:r>
      <w:proofErr w:type="spellEnd"/>
      <w:r w:rsidR="00F17E0D" w:rsidRPr="005A4656">
        <w:rPr>
          <w:sz w:val="26"/>
          <w:szCs w:val="26"/>
        </w:rPr>
        <w:t xml:space="preserve"> </w:t>
      </w:r>
      <w:r w:rsidRPr="005A4656">
        <w:rPr>
          <w:sz w:val="26"/>
          <w:szCs w:val="26"/>
        </w:rPr>
        <w:t xml:space="preserve">che </w:t>
      </w:r>
      <w:r w:rsidR="00F17E0D" w:rsidRPr="005A4656">
        <w:rPr>
          <w:sz w:val="26"/>
          <w:szCs w:val="26"/>
        </w:rPr>
        <w:t xml:space="preserve">possono essere comprese nel vasto </w:t>
      </w:r>
      <w:proofErr w:type="spellStart"/>
      <w:r w:rsidR="00F17E0D" w:rsidRPr="005A4656">
        <w:rPr>
          <w:i/>
          <w:sz w:val="26"/>
          <w:szCs w:val="26"/>
        </w:rPr>
        <w:t>genus</w:t>
      </w:r>
      <w:proofErr w:type="spellEnd"/>
      <w:r w:rsidR="00F17E0D" w:rsidRPr="005A4656">
        <w:rPr>
          <w:sz w:val="26"/>
          <w:szCs w:val="26"/>
        </w:rPr>
        <w:t xml:space="preserve"> delle </w:t>
      </w:r>
      <w:r w:rsidR="00F17E0D" w:rsidRPr="005A4656">
        <w:rPr>
          <w:i/>
          <w:sz w:val="26"/>
          <w:szCs w:val="26"/>
        </w:rPr>
        <w:t>obbligazioni pubbliche</w:t>
      </w:r>
      <w:r w:rsidR="00F17E0D" w:rsidRPr="005A4656">
        <w:rPr>
          <w:sz w:val="26"/>
          <w:szCs w:val="26"/>
        </w:rPr>
        <w:t>, ossia in tutte quelle vicende in cui si ravveda un impegno dello Stato e delle pubbliche amministrazioni, avent</w:t>
      </w:r>
      <w:r w:rsidR="00DB07BA" w:rsidRPr="005A4656">
        <w:rPr>
          <w:sz w:val="26"/>
          <w:szCs w:val="26"/>
        </w:rPr>
        <w:t>i</w:t>
      </w:r>
      <w:r w:rsidR="00F17E0D" w:rsidRPr="005A4656">
        <w:rPr>
          <w:sz w:val="26"/>
          <w:szCs w:val="26"/>
        </w:rPr>
        <w:t xml:space="preserve"> fondamento nel diritto pubblico (</w:t>
      </w:r>
      <w:r w:rsidR="00F0184B" w:rsidRPr="005A4656">
        <w:rPr>
          <w:sz w:val="26"/>
          <w:szCs w:val="26"/>
        </w:rPr>
        <w:t xml:space="preserve">per tutti v. </w:t>
      </w:r>
      <w:proofErr w:type="spellStart"/>
      <w:r w:rsidR="00F17E0D" w:rsidRPr="005A4656">
        <w:rPr>
          <w:sz w:val="26"/>
          <w:szCs w:val="26"/>
        </w:rPr>
        <w:t>Barettoni</w:t>
      </w:r>
      <w:proofErr w:type="spellEnd"/>
      <w:r w:rsidR="00F17E0D" w:rsidRPr="005A4656">
        <w:rPr>
          <w:sz w:val="26"/>
          <w:szCs w:val="26"/>
        </w:rPr>
        <w:t xml:space="preserve"> </w:t>
      </w:r>
      <w:proofErr w:type="spellStart"/>
      <w:r w:rsidR="00F17E0D" w:rsidRPr="005A4656">
        <w:rPr>
          <w:sz w:val="26"/>
          <w:szCs w:val="26"/>
        </w:rPr>
        <w:t>Arleri</w:t>
      </w:r>
      <w:proofErr w:type="spellEnd"/>
      <w:r w:rsidR="00F17E0D" w:rsidRPr="005A4656">
        <w:rPr>
          <w:sz w:val="26"/>
          <w:szCs w:val="26"/>
        </w:rPr>
        <w:t xml:space="preserve">, </w:t>
      </w:r>
      <w:r w:rsidR="00F0184B" w:rsidRPr="005A4656">
        <w:rPr>
          <w:i/>
          <w:sz w:val="26"/>
          <w:szCs w:val="26"/>
        </w:rPr>
        <w:t>Obbligazioni pubbliche</w:t>
      </w:r>
      <w:r w:rsidR="00F0184B" w:rsidRPr="005A4656">
        <w:rPr>
          <w:sz w:val="26"/>
          <w:szCs w:val="26"/>
        </w:rPr>
        <w:t xml:space="preserve">, voce in </w:t>
      </w:r>
      <w:proofErr w:type="spellStart"/>
      <w:r w:rsidR="00F0184B" w:rsidRPr="005A4656">
        <w:rPr>
          <w:i/>
          <w:sz w:val="26"/>
          <w:szCs w:val="26"/>
        </w:rPr>
        <w:t>Enc</w:t>
      </w:r>
      <w:proofErr w:type="spellEnd"/>
      <w:r w:rsidR="00F0184B" w:rsidRPr="005A4656">
        <w:rPr>
          <w:i/>
          <w:sz w:val="26"/>
          <w:szCs w:val="26"/>
        </w:rPr>
        <w:t xml:space="preserve">. </w:t>
      </w:r>
      <w:r w:rsidR="00CA1D32" w:rsidRPr="005A4656">
        <w:rPr>
          <w:i/>
          <w:sz w:val="26"/>
          <w:szCs w:val="26"/>
        </w:rPr>
        <w:t>d</w:t>
      </w:r>
      <w:r w:rsidR="00F0184B" w:rsidRPr="005A4656">
        <w:rPr>
          <w:i/>
          <w:sz w:val="26"/>
          <w:szCs w:val="26"/>
        </w:rPr>
        <w:t>ir</w:t>
      </w:r>
      <w:r w:rsidR="00F0184B" w:rsidRPr="005A4656">
        <w:rPr>
          <w:sz w:val="26"/>
          <w:szCs w:val="26"/>
        </w:rPr>
        <w:t>., XIX, Milano, 1979, 403</w:t>
      </w:r>
      <w:r w:rsidR="00F17E0D" w:rsidRPr="005A4656">
        <w:rPr>
          <w:sz w:val="26"/>
          <w:szCs w:val="26"/>
        </w:rPr>
        <w:t xml:space="preserve">). </w:t>
      </w:r>
      <w:r w:rsidR="007D6196" w:rsidRPr="005A4656">
        <w:rPr>
          <w:sz w:val="26"/>
          <w:szCs w:val="26"/>
        </w:rPr>
        <w:t>L’aiuto di Stato (</w:t>
      </w:r>
      <w:proofErr w:type="spellStart"/>
      <w:r w:rsidR="007D6196" w:rsidRPr="005A4656">
        <w:rPr>
          <w:i/>
          <w:sz w:val="26"/>
          <w:szCs w:val="26"/>
        </w:rPr>
        <w:t>species</w:t>
      </w:r>
      <w:proofErr w:type="spellEnd"/>
      <w:r w:rsidR="007D6196" w:rsidRPr="005A4656">
        <w:rPr>
          <w:sz w:val="26"/>
          <w:szCs w:val="26"/>
        </w:rPr>
        <w:t xml:space="preserve"> legittima o meno che sia, nel senso della sua conformità al diritto europeo) </w:t>
      </w:r>
      <w:r w:rsidRPr="005A4656">
        <w:rPr>
          <w:sz w:val="26"/>
          <w:szCs w:val="26"/>
        </w:rPr>
        <w:t>o, se si vuole, i contributi, i finanziamenti, i mutui ed altre forme agevolative, anche di carattere fiscale, sono</w:t>
      </w:r>
      <w:r w:rsidR="007D6196" w:rsidRPr="005A4656">
        <w:rPr>
          <w:sz w:val="26"/>
          <w:szCs w:val="26"/>
        </w:rPr>
        <w:t xml:space="preserve"> radicalmente divers</w:t>
      </w:r>
      <w:r w:rsidRPr="005A4656">
        <w:rPr>
          <w:sz w:val="26"/>
          <w:szCs w:val="26"/>
        </w:rPr>
        <w:t>i</w:t>
      </w:r>
      <w:r w:rsidR="007D6196" w:rsidRPr="005A4656">
        <w:rPr>
          <w:sz w:val="26"/>
          <w:szCs w:val="26"/>
        </w:rPr>
        <w:t xml:space="preserve"> da</w:t>
      </w:r>
      <w:r w:rsidR="00F0184B" w:rsidRPr="005A4656">
        <w:rPr>
          <w:sz w:val="26"/>
          <w:szCs w:val="26"/>
        </w:rPr>
        <w:t>l</w:t>
      </w:r>
      <w:r w:rsidR="007D6196" w:rsidRPr="005A4656">
        <w:rPr>
          <w:sz w:val="26"/>
          <w:szCs w:val="26"/>
        </w:rPr>
        <w:t xml:space="preserve"> corrispettivo di un contratto</w:t>
      </w:r>
      <w:r w:rsidRPr="005A4656">
        <w:rPr>
          <w:sz w:val="26"/>
          <w:szCs w:val="26"/>
        </w:rPr>
        <w:t xml:space="preserve"> o dall’importo dovuto per un danno contrattuale o extracontrattuale</w:t>
      </w:r>
      <w:r w:rsidR="00DA15C0" w:rsidRPr="005A4656">
        <w:rPr>
          <w:sz w:val="26"/>
          <w:szCs w:val="26"/>
        </w:rPr>
        <w:t xml:space="preserve">, </w:t>
      </w:r>
      <w:proofErr w:type="spellStart"/>
      <w:r w:rsidR="007D6196" w:rsidRPr="005A4656">
        <w:rPr>
          <w:i/>
          <w:sz w:val="26"/>
          <w:szCs w:val="26"/>
        </w:rPr>
        <w:t>species</w:t>
      </w:r>
      <w:proofErr w:type="spellEnd"/>
      <w:r w:rsidR="007D6196" w:rsidRPr="005A4656">
        <w:rPr>
          <w:sz w:val="26"/>
          <w:szCs w:val="26"/>
        </w:rPr>
        <w:t xml:space="preserve"> </w:t>
      </w:r>
      <w:r w:rsidR="00F0184B" w:rsidRPr="005A4656">
        <w:rPr>
          <w:sz w:val="26"/>
          <w:szCs w:val="26"/>
        </w:rPr>
        <w:lastRenderedPageBreak/>
        <w:t>estranea “</w:t>
      </w:r>
      <w:r w:rsidR="00F0184B" w:rsidRPr="005A4656">
        <w:rPr>
          <w:i/>
          <w:sz w:val="26"/>
          <w:szCs w:val="26"/>
        </w:rPr>
        <w:t>alla categoria delle obbligazioni pubbliche</w:t>
      </w:r>
      <w:r w:rsidR="00267890" w:rsidRPr="005A4656">
        <w:rPr>
          <w:i/>
          <w:sz w:val="26"/>
          <w:szCs w:val="26"/>
        </w:rPr>
        <w:t xml:space="preserve"> </w:t>
      </w:r>
      <w:r w:rsidR="00F0184B" w:rsidRPr="005A4656">
        <w:rPr>
          <w:i/>
          <w:sz w:val="26"/>
          <w:szCs w:val="26"/>
        </w:rPr>
        <w:t>…</w:t>
      </w:r>
      <w:r w:rsidR="00267890" w:rsidRPr="005A4656">
        <w:rPr>
          <w:i/>
          <w:sz w:val="26"/>
          <w:szCs w:val="26"/>
        </w:rPr>
        <w:t xml:space="preserve"> </w:t>
      </w:r>
      <w:r w:rsidR="00F0184B" w:rsidRPr="005A4656">
        <w:rPr>
          <w:i/>
          <w:sz w:val="26"/>
          <w:szCs w:val="26"/>
        </w:rPr>
        <w:t>L’affermazione non richiede ulteriore chiarimento, per la sua ovvietà, per quanto concerne non solo le obbligazioni contrattuali nelle quali l’amministrazione pubblica esplica attività privata, ma anche per quelle nelle quali essa esplica attività amministrativa di diritto privato come nei contratti ordinari e di diritto privato speciale</w:t>
      </w:r>
      <w:r w:rsidR="00267890" w:rsidRPr="005A4656">
        <w:rPr>
          <w:sz w:val="26"/>
          <w:szCs w:val="26"/>
        </w:rPr>
        <w:t>” (</w:t>
      </w:r>
      <w:proofErr w:type="spellStart"/>
      <w:r w:rsidR="00267890" w:rsidRPr="005A4656">
        <w:rPr>
          <w:sz w:val="26"/>
          <w:szCs w:val="26"/>
        </w:rPr>
        <w:t>Barettoni</w:t>
      </w:r>
      <w:proofErr w:type="spellEnd"/>
      <w:r w:rsidR="00267890" w:rsidRPr="005A4656">
        <w:rPr>
          <w:sz w:val="26"/>
          <w:szCs w:val="26"/>
        </w:rPr>
        <w:t xml:space="preserve"> </w:t>
      </w:r>
      <w:proofErr w:type="spellStart"/>
      <w:r w:rsidR="00267890" w:rsidRPr="005A4656">
        <w:rPr>
          <w:sz w:val="26"/>
          <w:szCs w:val="26"/>
        </w:rPr>
        <w:t>Arleri</w:t>
      </w:r>
      <w:proofErr w:type="spellEnd"/>
      <w:r w:rsidR="00267890" w:rsidRPr="005A4656">
        <w:rPr>
          <w:sz w:val="26"/>
          <w:szCs w:val="26"/>
        </w:rPr>
        <w:t xml:space="preserve">, </w:t>
      </w:r>
      <w:r w:rsidR="00267890" w:rsidRPr="005A4656">
        <w:rPr>
          <w:i/>
          <w:sz w:val="26"/>
          <w:szCs w:val="26"/>
        </w:rPr>
        <w:t>op. cit</w:t>
      </w:r>
      <w:r w:rsidR="00267890" w:rsidRPr="005A4656">
        <w:rPr>
          <w:sz w:val="26"/>
          <w:szCs w:val="26"/>
        </w:rPr>
        <w:t xml:space="preserve">., 403). </w:t>
      </w:r>
      <w:proofErr w:type="spellStart"/>
      <w:r w:rsidR="00267890" w:rsidRPr="005A4656">
        <w:rPr>
          <w:i/>
          <w:sz w:val="26"/>
          <w:szCs w:val="26"/>
        </w:rPr>
        <w:t>Species</w:t>
      </w:r>
      <w:proofErr w:type="spellEnd"/>
      <w:r w:rsidR="00267890" w:rsidRPr="005A4656">
        <w:rPr>
          <w:sz w:val="26"/>
          <w:szCs w:val="26"/>
        </w:rPr>
        <w:t xml:space="preserve"> </w:t>
      </w:r>
      <w:r w:rsidR="007D6196" w:rsidRPr="005A4656">
        <w:rPr>
          <w:sz w:val="26"/>
          <w:szCs w:val="26"/>
        </w:rPr>
        <w:t>che trova diretta fonte nel diritto privato o, se si vuole, nel codice civile, compren</w:t>
      </w:r>
      <w:r w:rsidR="00267890" w:rsidRPr="005A4656">
        <w:rPr>
          <w:sz w:val="26"/>
          <w:szCs w:val="26"/>
        </w:rPr>
        <w:t>siva di</w:t>
      </w:r>
      <w:r w:rsidR="007D6196" w:rsidRPr="005A4656">
        <w:rPr>
          <w:sz w:val="26"/>
          <w:szCs w:val="26"/>
        </w:rPr>
        <w:t xml:space="preserve"> ogni tipologia di prestazioni </w:t>
      </w:r>
      <w:r w:rsidR="00267890" w:rsidRPr="005A4656">
        <w:rPr>
          <w:sz w:val="26"/>
          <w:szCs w:val="26"/>
        </w:rPr>
        <w:t xml:space="preserve">contrattuali </w:t>
      </w:r>
      <w:r w:rsidR="007D6196" w:rsidRPr="005A4656">
        <w:rPr>
          <w:sz w:val="26"/>
          <w:szCs w:val="26"/>
        </w:rPr>
        <w:t xml:space="preserve">delle amministrazioni pubbliche. </w:t>
      </w:r>
    </w:p>
    <w:p w:rsidR="007D6196" w:rsidRPr="005A4656" w:rsidRDefault="00F17E0D" w:rsidP="00945E67">
      <w:pPr>
        <w:pStyle w:val="sentnormal"/>
        <w:spacing w:before="0" w:beforeAutospacing="0" w:after="0" w:afterAutospacing="0" w:line="360" w:lineRule="auto"/>
        <w:jc w:val="both"/>
        <w:rPr>
          <w:sz w:val="26"/>
          <w:szCs w:val="26"/>
        </w:rPr>
      </w:pPr>
      <w:r w:rsidRPr="005A4656">
        <w:rPr>
          <w:sz w:val="26"/>
          <w:szCs w:val="26"/>
        </w:rPr>
        <w:t xml:space="preserve">Quindi, un dissenso che può essere espresso nei confronti della motivazione </w:t>
      </w:r>
      <w:r w:rsidR="007D6196" w:rsidRPr="005A4656">
        <w:rPr>
          <w:sz w:val="26"/>
          <w:szCs w:val="26"/>
        </w:rPr>
        <w:t xml:space="preserve">della Plenaria </w:t>
      </w:r>
      <w:r w:rsidRPr="005A4656">
        <w:rPr>
          <w:sz w:val="26"/>
          <w:szCs w:val="26"/>
        </w:rPr>
        <w:t>testé riportata consiste proprio nel</w:t>
      </w:r>
      <w:r w:rsidR="007D6196" w:rsidRPr="005A4656">
        <w:rPr>
          <w:sz w:val="26"/>
          <w:szCs w:val="26"/>
        </w:rPr>
        <w:t>l’aver ritenuto c</w:t>
      </w:r>
      <w:r w:rsidR="006B4CBA" w:rsidRPr="005A4656">
        <w:rPr>
          <w:sz w:val="26"/>
          <w:szCs w:val="26"/>
        </w:rPr>
        <w:t>he le cd. provvidenze</w:t>
      </w:r>
      <w:r w:rsidR="007D6196" w:rsidRPr="005A4656">
        <w:rPr>
          <w:sz w:val="26"/>
          <w:szCs w:val="26"/>
        </w:rPr>
        <w:t>, quali</w:t>
      </w:r>
      <w:r w:rsidR="006B4CBA" w:rsidRPr="005A4656">
        <w:rPr>
          <w:sz w:val="26"/>
          <w:szCs w:val="26"/>
        </w:rPr>
        <w:t xml:space="preserve"> </w:t>
      </w:r>
      <w:r w:rsidR="006B4CBA" w:rsidRPr="005A4656">
        <w:rPr>
          <w:i/>
          <w:sz w:val="26"/>
          <w:szCs w:val="26"/>
        </w:rPr>
        <w:t>contributi, finanziamenti e mutui agevolati,</w:t>
      </w:r>
      <w:r w:rsidR="00DA15C0" w:rsidRPr="005A4656">
        <w:rPr>
          <w:i/>
          <w:sz w:val="26"/>
          <w:szCs w:val="26"/>
        </w:rPr>
        <w:t xml:space="preserve"> ed altre erogazioni dello stesso tipo, comunque denominate,</w:t>
      </w:r>
      <w:r w:rsidR="006B4CBA" w:rsidRPr="005A4656">
        <w:rPr>
          <w:i/>
          <w:sz w:val="26"/>
          <w:szCs w:val="26"/>
        </w:rPr>
        <w:t xml:space="preserve"> </w:t>
      </w:r>
      <w:r w:rsidR="00DA15C0" w:rsidRPr="005A4656">
        <w:rPr>
          <w:sz w:val="26"/>
          <w:szCs w:val="26"/>
        </w:rPr>
        <w:t>appartengono all</w:t>
      </w:r>
      <w:r w:rsidR="00267890" w:rsidRPr="005A4656">
        <w:rPr>
          <w:sz w:val="26"/>
          <w:szCs w:val="26"/>
        </w:rPr>
        <w:t xml:space="preserve">o stesso </w:t>
      </w:r>
      <w:proofErr w:type="spellStart"/>
      <w:r w:rsidR="00267890" w:rsidRPr="005A4656">
        <w:rPr>
          <w:i/>
          <w:sz w:val="26"/>
          <w:szCs w:val="26"/>
        </w:rPr>
        <w:t>genus</w:t>
      </w:r>
      <w:proofErr w:type="spellEnd"/>
      <w:r w:rsidR="00267890" w:rsidRPr="005A4656">
        <w:rPr>
          <w:sz w:val="26"/>
          <w:szCs w:val="26"/>
        </w:rPr>
        <w:t xml:space="preserve"> delle obbligazioni pubbliche </w:t>
      </w:r>
      <w:r w:rsidR="00DA15C0" w:rsidRPr="005A4656">
        <w:rPr>
          <w:sz w:val="26"/>
          <w:szCs w:val="26"/>
        </w:rPr>
        <w:t>e s</w:t>
      </w:r>
      <w:r w:rsidR="007D6196" w:rsidRPr="005A4656">
        <w:rPr>
          <w:sz w:val="26"/>
          <w:szCs w:val="26"/>
        </w:rPr>
        <w:t>ono equiparabili alle (contro)prestazioni che trovano diretta fonte nel codice civile.</w:t>
      </w:r>
    </w:p>
    <w:p w:rsidR="00DA15C0" w:rsidRPr="005A4656" w:rsidRDefault="00DA15C0" w:rsidP="00945E67">
      <w:pPr>
        <w:pStyle w:val="sentnormal"/>
        <w:spacing w:before="0" w:beforeAutospacing="0" w:after="0" w:afterAutospacing="0" w:line="360" w:lineRule="auto"/>
        <w:jc w:val="both"/>
        <w:rPr>
          <w:sz w:val="26"/>
          <w:szCs w:val="26"/>
        </w:rPr>
      </w:pPr>
      <w:r w:rsidRPr="005A4656">
        <w:rPr>
          <w:sz w:val="26"/>
          <w:szCs w:val="26"/>
        </w:rPr>
        <w:t xml:space="preserve">Anche la prima argomentazione che fa parte del corredo motivazionale della sentenza in esame non appare convincente </w:t>
      </w:r>
    </w:p>
    <w:p w:rsidR="002A7BE7" w:rsidRPr="005A4656" w:rsidRDefault="007D6196" w:rsidP="00945E67">
      <w:pPr>
        <w:pStyle w:val="sentnormal"/>
        <w:spacing w:before="0" w:beforeAutospacing="0" w:after="0" w:afterAutospacing="0" w:line="360" w:lineRule="auto"/>
        <w:jc w:val="both"/>
        <w:rPr>
          <w:sz w:val="26"/>
          <w:szCs w:val="26"/>
        </w:rPr>
      </w:pPr>
      <w:r w:rsidRPr="005A4656">
        <w:rPr>
          <w:sz w:val="26"/>
          <w:szCs w:val="26"/>
        </w:rPr>
        <w:t>Accanto a</w:t>
      </w:r>
      <w:r w:rsidR="00DA15C0" w:rsidRPr="005A4656">
        <w:rPr>
          <w:sz w:val="26"/>
          <w:szCs w:val="26"/>
        </w:rPr>
        <w:t>ll</w:t>
      </w:r>
      <w:r w:rsidR="00267890" w:rsidRPr="005A4656">
        <w:rPr>
          <w:sz w:val="26"/>
          <w:szCs w:val="26"/>
        </w:rPr>
        <w:t>’</w:t>
      </w:r>
      <w:r w:rsidRPr="005A4656">
        <w:rPr>
          <w:sz w:val="26"/>
          <w:szCs w:val="26"/>
        </w:rPr>
        <w:t>ontologica diversità</w:t>
      </w:r>
      <w:r w:rsidR="00DA15C0" w:rsidRPr="005A4656">
        <w:rPr>
          <w:sz w:val="26"/>
          <w:szCs w:val="26"/>
        </w:rPr>
        <w:t xml:space="preserve"> </w:t>
      </w:r>
      <w:r w:rsidR="00267890" w:rsidRPr="005A4656">
        <w:rPr>
          <w:sz w:val="26"/>
          <w:szCs w:val="26"/>
        </w:rPr>
        <w:t xml:space="preserve">tra </w:t>
      </w:r>
      <w:r w:rsidR="00DA15C0" w:rsidRPr="005A4656">
        <w:rPr>
          <w:i/>
          <w:sz w:val="26"/>
          <w:szCs w:val="26"/>
        </w:rPr>
        <w:t>contributi, finanziamenti e mutui agevolati, ed altre erogazioni dello stesso tipo, comunque denominate</w:t>
      </w:r>
      <w:r w:rsidRPr="005A4656">
        <w:rPr>
          <w:sz w:val="26"/>
          <w:szCs w:val="26"/>
        </w:rPr>
        <w:t xml:space="preserve">, </w:t>
      </w:r>
      <w:r w:rsidR="00DA15C0" w:rsidRPr="005A4656">
        <w:rPr>
          <w:sz w:val="26"/>
          <w:szCs w:val="26"/>
        </w:rPr>
        <w:t>e</w:t>
      </w:r>
      <w:r w:rsidR="00267890" w:rsidRPr="005A4656">
        <w:rPr>
          <w:sz w:val="26"/>
          <w:szCs w:val="26"/>
        </w:rPr>
        <w:t>d</w:t>
      </w:r>
      <w:r w:rsidR="00DA15C0" w:rsidRPr="005A4656">
        <w:rPr>
          <w:sz w:val="26"/>
          <w:szCs w:val="26"/>
        </w:rPr>
        <w:t xml:space="preserve"> obbligazioni contrattuali ed extracontrattuali, </w:t>
      </w:r>
      <w:r w:rsidRPr="005A4656">
        <w:rPr>
          <w:sz w:val="26"/>
          <w:szCs w:val="26"/>
        </w:rPr>
        <w:t xml:space="preserve">v’è una riflessione che </w:t>
      </w:r>
      <w:r w:rsidR="00DA15C0" w:rsidRPr="005A4656">
        <w:rPr>
          <w:sz w:val="26"/>
          <w:szCs w:val="26"/>
        </w:rPr>
        <w:t>tocca</w:t>
      </w:r>
      <w:r w:rsidRPr="005A4656">
        <w:rPr>
          <w:sz w:val="26"/>
          <w:szCs w:val="26"/>
        </w:rPr>
        <w:t xml:space="preserve"> la </w:t>
      </w:r>
      <w:r w:rsidRPr="005A4656">
        <w:rPr>
          <w:i/>
          <w:sz w:val="26"/>
          <w:szCs w:val="26"/>
        </w:rPr>
        <w:t>ratio</w:t>
      </w:r>
      <w:r w:rsidRPr="005A4656">
        <w:rPr>
          <w:sz w:val="26"/>
          <w:szCs w:val="26"/>
        </w:rPr>
        <w:t xml:space="preserve"> della norma in commento: il legislatore</w:t>
      </w:r>
      <w:r w:rsidR="00DA15C0" w:rsidRPr="005A4656">
        <w:rPr>
          <w:sz w:val="26"/>
          <w:szCs w:val="26"/>
        </w:rPr>
        <w:t xml:space="preserve">, con l’articolo 67, </w:t>
      </w:r>
      <w:r w:rsidR="00ED4FC7" w:rsidRPr="005A4656">
        <w:rPr>
          <w:sz w:val="26"/>
          <w:szCs w:val="26"/>
        </w:rPr>
        <w:t xml:space="preserve">ha voluto </w:t>
      </w:r>
      <w:r w:rsidR="00DA15C0" w:rsidRPr="005A4656">
        <w:rPr>
          <w:sz w:val="26"/>
          <w:szCs w:val="26"/>
        </w:rPr>
        <w:t xml:space="preserve">far discendere dal </w:t>
      </w:r>
      <w:r w:rsidR="00ED4FC7" w:rsidRPr="005A4656">
        <w:rPr>
          <w:sz w:val="26"/>
          <w:szCs w:val="26"/>
        </w:rPr>
        <w:t xml:space="preserve">provvedimento interdittivo </w:t>
      </w:r>
      <w:r w:rsidR="00DA15C0" w:rsidRPr="005A4656">
        <w:rPr>
          <w:sz w:val="26"/>
          <w:szCs w:val="26"/>
        </w:rPr>
        <w:t xml:space="preserve">il diniego del </w:t>
      </w:r>
      <w:r w:rsidR="00ED4FC7" w:rsidRPr="005A4656">
        <w:rPr>
          <w:sz w:val="26"/>
          <w:szCs w:val="26"/>
        </w:rPr>
        <w:t>rilascio di provvedimenti amministrativi ampliativi della sfera giuridica della ditta interdetta (comma 1, lettere a-f ed h), ed il conseguimento di benefici di carattere economico</w:t>
      </w:r>
      <w:r w:rsidR="000A3EB9" w:rsidRPr="005A4656">
        <w:rPr>
          <w:sz w:val="26"/>
          <w:szCs w:val="26"/>
        </w:rPr>
        <w:t>,</w:t>
      </w:r>
      <w:r w:rsidR="00ED4FC7" w:rsidRPr="005A4656">
        <w:rPr>
          <w:sz w:val="26"/>
          <w:szCs w:val="26"/>
        </w:rPr>
        <w:t xml:space="preserve"> legati vuoi a</w:t>
      </w:r>
      <w:r w:rsidR="00267890" w:rsidRPr="005A4656">
        <w:rPr>
          <w:sz w:val="26"/>
          <w:szCs w:val="26"/>
        </w:rPr>
        <w:t>lla</w:t>
      </w:r>
      <w:r w:rsidR="00ED4FC7" w:rsidRPr="005A4656">
        <w:rPr>
          <w:sz w:val="26"/>
          <w:szCs w:val="26"/>
        </w:rPr>
        <w:t xml:space="preserve"> discrezionalità amministrativa, vuoi alla presenz</w:t>
      </w:r>
      <w:r w:rsidR="000A3EB9" w:rsidRPr="005A4656">
        <w:rPr>
          <w:sz w:val="26"/>
          <w:szCs w:val="26"/>
        </w:rPr>
        <w:t>a di specifici</w:t>
      </w:r>
      <w:r w:rsidR="00ED4FC7" w:rsidRPr="005A4656">
        <w:rPr>
          <w:sz w:val="26"/>
          <w:szCs w:val="26"/>
        </w:rPr>
        <w:t xml:space="preserve"> requisiti previsti dall’ordinamento, consistenti in</w:t>
      </w:r>
      <w:r w:rsidR="000A3EB9" w:rsidRPr="005A4656">
        <w:rPr>
          <w:sz w:val="26"/>
          <w:szCs w:val="26"/>
        </w:rPr>
        <w:t xml:space="preserve"> provvedimenti aventi natura di</w:t>
      </w:r>
      <w:r w:rsidR="00ED4FC7" w:rsidRPr="005A4656">
        <w:rPr>
          <w:sz w:val="26"/>
          <w:szCs w:val="26"/>
        </w:rPr>
        <w:t xml:space="preserve"> “</w:t>
      </w:r>
      <w:r w:rsidR="00ED4FC7" w:rsidRPr="005A4656">
        <w:rPr>
          <w:i/>
          <w:sz w:val="26"/>
          <w:szCs w:val="26"/>
        </w:rPr>
        <w:t>contributi, finanziamenti o mutui agevolati ed altre erogazioni dello stesso tipo, comunque denominate, concessi o erogati da parte dello Stato, di altri enti pubblici o delle Comunità europee, per lo svolgimento di attività imprenditoriali</w:t>
      </w:r>
      <w:r w:rsidR="00ED4FC7" w:rsidRPr="005A4656">
        <w:rPr>
          <w:sz w:val="26"/>
          <w:szCs w:val="26"/>
        </w:rPr>
        <w:t xml:space="preserve">” (lettera g). </w:t>
      </w:r>
      <w:r w:rsidR="000A3EB9" w:rsidRPr="005A4656">
        <w:rPr>
          <w:sz w:val="26"/>
          <w:szCs w:val="26"/>
        </w:rPr>
        <w:t>I</w:t>
      </w:r>
      <w:r w:rsidR="00ED4FC7" w:rsidRPr="005A4656">
        <w:rPr>
          <w:sz w:val="26"/>
          <w:szCs w:val="26"/>
        </w:rPr>
        <w:t xml:space="preserve">n altre parole, non </w:t>
      </w:r>
      <w:r w:rsidR="000A3EB9" w:rsidRPr="005A4656">
        <w:rPr>
          <w:sz w:val="26"/>
          <w:szCs w:val="26"/>
        </w:rPr>
        <w:t xml:space="preserve">è sembrato </w:t>
      </w:r>
      <w:r w:rsidR="00ED4FC7" w:rsidRPr="005A4656">
        <w:rPr>
          <w:sz w:val="26"/>
          <w:szCs w:val="26"/>
        </w:rPr>
        <w:t>morale (qui, si vuole che il profilo giuridico</w:t>
      </w:r>
      <w:r w:rsidR="000A3EB9" w:rsidRPr="005A4656">
        <w:rPr>
          <w:sz w:val="26"/>
          <w:szCs w:val="26"/>
        </w:rPr>
        <w:t>-normativo</w:t>
      </w:r>
      <w:r w:rsidR="00ED4FC7" w:rsidRPr="005A4656">
        <w:rPr>
          <w:sz w:val="26"/>
          <w:szCs w:val="26"/>
        </w:rPr>
        <w:t xml:space="preserve"> coincida con quello etico) che un’impresa, ‘sospettata’ di avere infiltrazioni o condizionamenti di tipo mafioso, goda di un aiuto economico da parte delle amministrazioni pubbliche.</w:t>
      </w:r>
    </w:p>
    <w:p w:rsidR="000A3EB9" w:rsidRPr="005A4656" w:rsidRDefault="00ED4FC7" w:rsidP="00945E67">
      <w:pPr>
        <w:pStyle w:val="sentnormal"/>
        <w:spacing w:before="0" w:beforeAutospacing="0" w:after="0" w:afterAutospacing="0" w:line="360" w:lineRule="auto"/>
        <w:jc w:val="both"/>
        <w:rPr>
          <w:sz w:val="26"/>
          <w:szCs w:val="26"/>
        </w:rPr>
      </w:pPr>
      <w:r w:rsidRPr="005A4656">
        <w:rPr>
          <w:sz w:val="26"/>
          <w:szCs w:val="26"/>
        </w:rPr>
        <w:t>Ma da qui a</w:t>
      </w:r>
      <w:r w:rsidR="000A3EB9" w:rsidRPr="005A4656">
        <w:rPr>
          <w:sz w:val="26"/>
          <w:szCs w:val="26"/>
        </w:rPr>
        <w:t>d</w:t>
      </w:r>
      <w:r w:rsidRPr="005A4656">
        <w:rPr>
          <w:sz w:val="26"/>
          <w:szCs w:val="26"/>
        </w:rPr>
        <w:t xml:space="preserve"> estendere il pagamento di qualunque somma dovuta dalle amministrazioni pubbliche di natura </w:t>
      </w:r>
      <w:r w:rsidR="000A3EB9" w:rsidRPr="005A4656">
        <w:rPr>
          <w:sz w:val="26"/>
          <w:szCs w:val="26"/>
        </w:rPr>
        <w:t xml:space="preserve">diversa dalle erogazioni di contenuto (detto in senso meramente </w:t>
      </w:r>
      <w:r w:rsidR="000A3EB9" w:rsidRPr="005A4656">
        <w:rPr>
          <w:sz w:val="26"/>
          <w:szCs w:val="26"/>
        </w:rPr>
        <w:lastRenderedPageBreak/>
        <w:t xml:space="preserve">semplificativo, ‘liberali’) </w:t>
      </w:r>
      <w:r w:rsidRPr="005A4656">
        <w:rPr>
          <w:sz w:val="26"/>
          <w:szCs w:val="26"/>
        </w:rPr>
        <w:t xml:space="preserve">ne corre un bel po’. </w:t>
      </w:r>
      <w:r w:rsidR="002A7BE7" w:rsidRPr="005A4656">
        <w:rPr>
          <w:sz w:val="26"/>
          <w:szCs w:val="26"/>
        </w:rPr>
        <w:t>La Plenaria</w:t>
      </w:r>
      <w:r w:rsidR="000A3EB9" w:rsidRPr="005A4656">
        <w:rPr>
          <w:sz w:val="26"/>
          <w:szCs w:val="26"/>
        </w:rPr>
        <w:t xml:space="preserve"> vuol sorreggere il proprio convincimento</w:t>
      </w:r>
      <w:r w:rsidR="002A7BE7" w:rsidRPr="005A4656">
        <w:rPr>
          <w:sz w:val="26"/>
          <w:szCs w:val="26"/>
        </w:rPr>
        <w:t xml:space="preserve"> </w:t>
      </w:r>
      <w:r w:rsidR="000A3EB9" w:rsidRPr="005A4656">
        <w:rPr>
          <w:sz w:val="26"/>
          <w:szCs w:val="26"/>
        </w:rPr>
        <w:t>con l’asserire</w:t>
      </w:r>
      <w:r w:rsidR="002A7BE7" w:rsidRPr="005A4656">
        <w:rPr>
          <w:sz w:val="26"/>
          <w:szCs w:val="26"/>
        </w:rPr>
        <w:t xml:space="preserve"> che “</w:t>
      </w:r>
      <w:r w:rsidR="002A7BE7" w:rsidRPr="005A4656">
        <w:rPr>
          <w:i/>
          <w:sz w:val="26"/>
          <w:szCs w:val="26"/>
        </w:rPr>
        <w:t>la finalità del legislatore è, in generale, quella di evitare ogni ‘esborso di matrice pubblicistica’ in favore di imprese soggette ad infiltrazioni criminali”</w:t>
      </w:r>
      <w:r w:rsidR="00CA1D32" w:rsidRPr="005A4656">
        <w:rPr>
          <w:i/>
          <w:sz w:val="26"/>
          <w:szCs w:val="26"/>
        </w:rPr>
        <w:t xml:space="preserve">, </w:t>
      </w:r>
      <w:r w:rsidR="000A3EB9" w:rsidRPr="005A4656">
        <w:rPr>
          <w:sz w:val="26"/>
          <w:szCs w:val="26"/>
        </w:rPr>
        <w:t>a</w:t>
      </w:r>
      <w:r w:rsidR="002A7BE7" w:rsidRPr="005A4656">
        <w:rPr>
          <w:sz w:val="26"/>
          <w:szCs w:val="26"/>
        </w:rPr>
        <w:t xml:space="preserve">ttribuendo al legislatore </w:t>
      </w:r>
      <w:r w:rsidR="000A3EB9" w:rsidRPr="005A4656">
        <w:rPr>
          <w:sz w:val="26"/>
          <w:szCs w:val="26"/>
        </w:rPr>
        <w:t xml:space="preserve">una </w:t>
      </w:r>
      <w:r w:rsidR="002A7BE7" w:rsidRPr="005A4656">
        <w:rPr>
          <w:sz w:val="26"/>
          <w:szCs w:val="26"/>
        </w:rPr>
        <w:t>cos</w:t>
      </w:r>
      <w:r w:rsidR="000A3EB9" w:rsidRPr="005A4656">
        <w:rPr>
          <w:sz w:val="26"/>
          <w:szCs w:val="26"/>
        </w:rPr>
        <w:t>a</w:t>
      </w:r>
      <w:r w:rsidR="002A7BE7" w:rsidRPr="005A4656">
        <w:rPr>
          <w:sz w:val="26"/>
          <w:szCs w:val="26"/>
        </w:rPr>
        <w:t xml:space="preserve"> che egli non ha affatto detto. </w:t>
      </w:r>
      <w:r w:rsidR="000A3EB9" w:rsidRPr="005A4656">
        <w:rPr>
          <w:sz w:val="26"/>
          <w:szCs w:val="26"/>
        </w:rPr>
        <w:t>Il divieto cade n</w:t>
      </w:r>
      <w:r w:rsidR="002A7BE7" w:rsidRPr="005A4656">
        <w:rPr>
          <w:sz w:val="26"/>
          <w:szCs w:val="26"/>
        </w:rPr>
        <w:t xml:space="preserve">on </w:t>
      </w:r>
      <w:r w:rsidR="000A3EB9" w:rsidRPr="005A4656">
        <w:rPr>
          <w:sz w:val="26"/>
          <w:szCs w:val="26"/>
        </w:rPr>
        <w:t xml:space="preserve">su </w:t>
      </w:r>
      <w:r w:rsidR="002A7BE7" w:rsidRPr="005A4656">
        <w:rPr>
          <w:sz w:val="26"/>
          <w:szCs w:val="26"/>
        </w:rPr>
        <w:t>tutti gli esborsi di matrice pubblicistica</w:t>
      </w:r>
      <w:r w:rsidR="000A3EB9" w:rsidRPr="005A4656">
        <w:rPr>
          <w:sz w:val="26"/>
          <w:szCs w:val="26"/>
        </w:rPr>
        <w:t xml:space="preserve"> (ossia, emanati da pubbliche amministrazioni)</w:t>
      </w:r>
      <w:r w:rsidR="002A7BE7" w:rsidRPr="005A4656">
        <w:rPr>
          <w:sz w:val="26"/>
          <w:szCs w:val="26"/>
        </w:rPr>
        <w:t xml:space="preserve">, ma solo </w:t>
      </w:r>
      <w:r w:rsidR="000A3EB9" w:rsidRPr="005A4656">
        <w:rPr>
          <w:sz w:val="26"/>
          <w:szCs w:val="26"/>
        </w:rPr>
        <w:t xml:space="preserve">su </w:t>
      </w:r>
      <w:r w:rsidR="002A7BE7" w:rsidRPr="005A4656">
        <w:rPr>
          <w:sz w:val="26"/>
          <w:szCs w:val="26"/>
        </w:rPr>
        <w:t>quelli aventi natura agevolativa, che trovano fonte in norme emanate per favorire lo sviluppo economico nazionale (o locale)</w:t>
      </w:r>
      <w:r w:rsidR="000A3EB9" w:rsidRPr="005A4656">
        <w:rPr>
          <w:sz w:val="26"/>
          <w:szCs w:val="26"/>
        </w:rPr>
        <w:t xml:space="preserve"> e siano tradotti in provvedimenti amministrativi</w:t>
      </w:r>
      <w:r w:rsidR="002A7BE7" w:rsidRPr="005A4656">
        <w:rPr>
          <w:sz w:val="26"/>
          <w:szCs w:val="26"/>
        </w:rPr>
        <w:t xml:space="preserve">. </w:t>
      </w:r>
    </w:p>
    <w:p w:rsidR="000A3EB9" w:rsidRPr="005A4656" w:rsidRDefault="002A7BE7" w:rsidP="00945E67">
      <w:pPr>
        <w:pStyle w:val="sentnormal"/>
        <w:spacing w:before="0" w:beforeAutospacing="0" w:after="0" w:afterAutospacing="0" w:line="360" w:lineRule="auto"/>
        <w:jc w:val="both"/>
        <w:rPr>
          <w:sz w:val="26"/>
          <w:szCs w:val="26"/>
        </w:rPr>
      </w:pPr>
      <w:r w:rsidRPr="005A4656">
        <w:rPr>
          <w:sz w:val="26"/>
          <w:szCs w:val="26"/>
        </w:rPr>
        <w:t>Ed è ‘</w:t>
      </w:r>
      <w:r w:rsidRPr="005A4656">
        <w:rPr>
          <w:i/>
          <w:sz w:val="26"/>
          <w:szCs w:val="26"/>
        </w:rPr>
        <w:t>giusto</w:t>
      </w:r>
      <w:r w:rsidRPr="005A4656">
        <w:rPr>
          <w:sz w:val="26"/>
          <w:szCs w:val="26"/>
        </w:rPr>
        <w:t xml:space="preserve">’ che così sia, ci sarebbe da aggiungere. </w:t>
      </w:r>
    </w:p>
    <w:p w:rsidR="002A7BE7" w:rsidRPr="005A4656" w:rsidRDefault="002A7BE7" w:rsidP="00945E67">
      <w:pPr>
        <w:pStyle w:val="sentnormal"/>
        <w:spacing w:before="0" w:beforeAutospacing="0" w:after="0" w:afterAutospacing="0" w:line="360" w:lineRule="auto"/>
        <w:jc w:val="both"/>
        <w:rPr>
          <w:sz w:val="26"/>
          <w:szCs w:val="26"/>
        </w:rPr>
      </w:pPr>
      <w:r w:rsidRPr="005A4656">
        <w:rPr>
          <w:sz w:val="26"/>
          <w:szCs w:val="26"/>
        </w:rPr>
        <w:t xml:space="preserve">Se è stato adottato un provvedimento </w:t>
      </w:r>
      <w:r w:rsidR="000A3EB9" w:rsidRPr="005A4656">
        <w:rPr>
          <w:sz w:val="26"/>
          <w:szCs w:val="26"/>
        </w:rPr>
        <w:t xml:space="preserve">interdittivo </w:t>
      </w:r>
      <w:r w:rsidRPr="005A4656">
        <w:rPr>
          <w:sz w:val="26"/>
          <w:szCs w:val="26"/>
        </w:rPr>
        <w:t>che limita sensibilmente la capacità imprenditoriale di un’impresa (tale da fare ritenere una ridotta</w:t>
      </w:r>
      <w:r w:rsidR="000A3EB9" w:rsidRPr="005A4656">
        <w:rPr>
          <w:sz w:val="26"/>
          <w:szCs w:val="26"/>
        </w:rPr>
        <w:t>, parziale</w:t>
      </w:r>
      <w:r w:rsidRPr="005A4656">
        <w:rPr>
          <w:sz w:val="26"/>
          <w:szCs w:val="26"/>
        </w:rPr>
        <w:t xml:space="preserve"> capacità giuridica, come riferisce la Plenaria), di conseguenza non si vede come si possa </w:t>
      </w:r>
      <w:r w:rsidR="000A3EB9" w:rsidRPr="005A4656">
        <w:rPr>
          <w:sz w:val="26"/>
          <w:szCs w:val="26"/>
        </w:rPr>
        <w:t xml:space="preserve">ampliare la sua sfera giuridica mediante provvedimenti amministrativi che </w:t>
      </w:r>
      <w:r w:rsidRPr="005A4656">
        <w:rPr>
          <w:sz w:val="26"/>
          <w:szCs w:val="26"/>
        </w:rPr>
        <w:t>dispo</w:t>
      </w:r>
      <w:r w:rsidR="000A3EB9" w:rsidRPr="005A4656">
        <w:rPr>
          <w:sz w:val="26"/>
          <w:szCs w:val="26"/>
        </w:rPr>
        <w:t>ngano</w:t>
      </w:r>
      <w:r w:rsidRPr="005A4656">
        <w:rPr>
          <w:sz w:val="26"/>
          <w:szCs w:val="26"/>
        </w:rPr>
        <w:t xml:space="preserve"> il pagamento di somme o consent</w:t>
      </w:r>
      <w:r w:rsidR="000A3EB9" w:rsidRPr="005A4656">
        <w:rPr>
          <w:sz w:val="26"/>
          <w:szCs w:val="26"/>
        </w:rPr>
        <w:t>ano</w:t>
      </w:r>
      <w:r w:rsidRPr="005A4656">
        <w:rPr>
          <w:sz w:val="26"/>
          <w:szCs w:val="26"/>
        </w:rPr>
        <w:t xml:space="preserve"> agevolazioni in favore di tale impresa</w:t>
      </w:r>
      <w:r w:rsidR="000A3EB9" w:rsidRPr="005A4656">
        <w:rPr>
          <w:sz w:val="26"/>
          <w:szCs w:val="26"/>
        </w:rPr>
        <w:t xml:space="preserve">; e che </w:t>
      </w:r>
      <w:r w:rsidR="00A45B18">
        <w:rPr>
          <w:sz w:val="26"/>
          <w:szCs w:val="26"/>
        </w:rPr>
        <w:t>codesti</w:t>
      </w:r>
      <w:r w:rsidR="00CA1D32" w:rsidRPr="005A4656">
        <w:rPr>
          <w:sz w:val="26"/>
          <w:szCs w:val="26"/>
        </w:rPr>
        <w:t xml:space="preserve"> benefici</w:t>
      </w:r>
      <w:r w:rsidR="00A45B18">
        <w:rPr>
          <w:sz w:val="26"/>
          <w:szCs w:val="26"/>
        </w:rPr>
        <w:t>,</w:t>
      </w:r>
      <w:r w:rsidR="00CA1D32" w:rsidRPr="005A4656">
        <w:rPr>
          <w:sz w:val="26"/>
          <w:szCs w:val="26"/>
        </w:rPr>
        <w:t xml:space="preserve"> in definitiva</w:t>
      </w:r>
      <w:r w:rsidR="00A45B18">
        <w:rPr>
          <w:sz w:val="26"/>
          <w:szCs w:val="26"/>
        </w:rPr>
        <w:t>,</w:t>
      </w:r>
      <w:r w:rsidR="00CA1D32" w:rsidRPr="005A4656">
        <w:rPr>
          <w:sz w:val="26"/>
          <w:szCs w:val="26"/>
        </w:rPr>
        <w:t xml:space="preserve"> </w:t>
      </w:r>
      <w:r w:rsidR="000A3EB9" w:rsidRPr="005A4656">
        <w:rPr>
          <w:sz w:val="26"/>
          <w:szCs w:val="26"/>
        </w:rPr>
        <w:t>siano a carico dell’intera collettività</w:t>
      </w:r>
      <w:r w:rsidRPr="005A4656">
        <w:rPr>
          <w:sz w:val="26"/>
          <w:szCs w:val="26"/>
        </w:rPr>
        <w:t>. Ma da qui a sostenere che “</w:t>
      </w:r>
      <w:r w:rsidRPr="005A4656">
        <w:rPr>
          <w:i/>
          <w:sz w:val="26"/>
          <w:szCs w:val="26"/>
        </w:rPr>
        <w:t xml:space="preserve">il legislatore intende impedire </w:t>
      </w:r>
      <w:r w:rsidRPr="005A4656">
        <w:rPr>
          <w:b/>
          <w:i/>
          <w:sz w:val="26"/>
          <w:szCs w:val="26"/>
        </w:rPr>
        <w:t>ogni attribuzione patrimoniale</w:t>
      </w:r>
      <w:r w:rsidRPr="005A4656">
        <w:rPr>
          <w:i/>
          <w:sz w:val="26"/>
          <w:szCs w:val="26"/>
        </w:rPr>
        <w:t xml:space="preserve"> da parte della Pubblica Amministrazione in favore di tali soggetti</w:t>
      </w:r>
      <w:r w:rsidRPr="005A4656">
        <w:rPr>
          <w:sz w:val="26"/>
          <w:szCs w:val="26"/>
        </w:rPr>
        <w:t>”</w:t>
      </w:r>
      <w:r w:rsidR="000A3EB9" w:rsidRPr="005A4656">
        <w:rPr>
          <w:sz w:val="26"/>
          <w:szCs w:val="26"/>
        </w:rPr>
        <w:t>,</w:t>
      </w:r>
      <w:r w:rsidRPr="005A4656">
        <w:rPr>
          <w:sz w:val="26"/>
          <w:szCs w:val="26"/>
        </w:rPr>
        <w:t xml:space="preserve"> ne corre. </w:t>
      </w:r>
    </w:p>
    <w:p w:rsidR="0048009F" w:rsidRPr="005A4656" w:rsidRDefault="002A7BE7" w:rsidP="00945E67">
      <w:pPr>
        <w:pStyle w:val="sentnormal"/>
        <w:spacing w:before="0" w:beforeAutospacing="0" w:after="0" w:afterAutospacing="0" w:line="360" w:lineRule="auto"/>
        <w:jc w:val="both"/>
        <w:rPr>
          <w:sz w:val="26"/>
          <w:szCs w:val="26"/>
        </w:rPr>
      </w:pPr>
      <w:r w:rsidRPr="005A4656">
        <w:rPr>
          <w:sz w:val="26"/>
          <w:szCs w:val="26"/>
        </w:rPr>
        <w:t xml:space="preserve">La </w:t>
      </w:r>
      <w:r w:rsidR="000A3EB9" w:rsidRPr="005A4656">
        <w:rPr>
          <w:sz w:val="26"/>
          <w:szCs w:val="26"/>
        </w:rPr>
        <w:t>P</w:t>
      </w:r>
      <w:r w:rsidRPr="005A4656">
        <w:rPr>
          <w:sz w:val="26"/>
          <w:szCs w:val="26"/>
        </w:rPr>
        <w:t xml:space="preserve">lenaria, nel suo </w:t>
      </w:r>
      <w:proofErr w:type="spellStart"/>
      <w:r w:rsidRPr="005A4656">
        <w:rPr>
          <w:i/>
          <w:sz w:val="26"/>
          <w:szCs w:val="26"/>
        </w:rPr>
        <w:t>dictum</w:t>
      </w:r>
      <w:proofErr w:type="spellEnd"/>
      <w:r w:rsidRPr="005A4656">
        <w:rPr>
          <w:sz w:val="26"/>
          <w:szCs w:val="26"/>
        </w:rPr>
        <w:t xml:space="preserve"> dispositivo</w:t>
      </w:r>
      <w:r w:rsidR="000A3EB9" w:rsidRPr="005A4656">
        <w:rPr>
          <w:sz w:val="26"/>
          <w:szCs w:val="26"/>
        </w:rPr>
        <w:t>,</w:t>
      </w:r>
      <w:r w:rsidRPr="005A4656">
        <w:rPr>
          <w:sz w:val="26"/>
          <w:szCs w:val="26"/>
        </w:rPr>
        <w:t xml:space="preserve"> riferisce dell’impossibilità</w:t>
      </w:r>
      <w:r w:rsidR="000A3EB9" w:rsidRPr="005A4656">
        <w:rPr>
          <w:sz w:val="26"/>
          <w:szCs w:val="26"/>
        </w:rPr>
        <w:t xml:space="preserve">, sia pure </w:t>
      </w:r>
      <w:r w:rsidR="00A45B18">
        <w:rPr>
          <w:sz w:val="26"/>
          <w:szCs w:val="26"/>
        </w:rPr>
        <w:t xml:space="preserve">tendenzialmente </w:t>
      </w:r>
      <w:r w:rsidR="000A3EB9" w:rsidRPr="005A4656">
        <w:rPr>
          <w:sz w:val="26"/>
          <w:szCs w:val="26"/>
        </w:rPr>
        <w:t>temporanea,</w:t>
      </w:r>
      <w:r w:rsidRPr="005A4656">
        <w:rPr>
          <w:sz w:val="26"/>
          <w:szCs w:val="26"/>
        </w:rPr>
        <w:t xml:space="preserve"> “</w:t>
      </w:r>
      <w:r w:rsidRPr="005A4656">
        <w:rPr>
          <w:i/>
          <w:sz w:val="26"/>
          <w:szCs w:val="26"/>
        </w:rPr>
        <w:t>di percepire somme dovute a titolo di risarcimento del danno patito in connessione all’attività di impresa</w:t>
      </w:r>
      <w:r w:rsidRPr="005A4656">
        <w:rPr>
          <w:sz w:val="26"/>
          <w:szCs w:val="26"/>
        </w:rPr>
        <w:t xml:space="preserve">”. </w:t>
      </w:r>
      <w:r w:rsidR="00A45B18">
        <w:rPr>
          <w:sz w:val="26"/>
          <w:szCs w:val="26"/>
        </w:rPr>
        <w:t>Di qui alcune domande. S</w:t>
      </w:r>
      <w:r w:rsidRPr="005A4656">
        <w:rPr>
          <w:sz w:val="26"/>
          <w:szCs w:val="26"/>
        </w:rPr>
        <w:t>e l’impresa interdetta</w:t>
      </w:r>
      <w:r w:rsidR="000A3EB9" w:rsidRPr="005A4656">
        <w:rPr>
          <w:sz w:val="26"/>
          <w:szCs w:val="26"/>
        </w:rPr>
        <w:t>, per lo svolgimento della sua attività,</w:t>
      </w:r>
      <w:r w:rsidRPr="005A4656">
        <w:rPr>
          <w:sz w:val="26"/>
          <w:szCs w:val="26"/>
        </w:rPr>
        <w:t xml:space="preserve"> ha acquistato un immobile sottoposto ad una procedura espropriativa (legittima o meno che sia), non dovrebbe aver diritto a conseguire l’indennizzo (ex art. 42 Cost.) o il risarcimento del danno (ex art. 2043 c.c.)? </w:t>
      </w:r>
      <w:r w:rsidR="00A45B18">
        <w:rPr>
          <w:sz w:val="26"/>
          <w:szCs w:val="26"/>
        </w:rPr>
        <w:t>S</w:t>
      </w:r>
      <w:r w:rsidR="00284C2B" w:rsidRPr="005A4656">
        <w:rPr>
          <w:sz w:val="26"/>
          <w:szCs w:val="26"/>
        </w:rPr>
        <w:t xml:space="preserve">e </w:t>
      </w:r>
      <w:r w:rsidR="00513576">
        <w:rPr>
          <w:sz w:val="26"/>
          <w:szCs w:val="26"/>
        </w:rPr>
        <w:t>al</w:t>
      </w:r>
      <w:r w:rsidR="00284C2B" w:rsidRPr="005A4656">
        <w:rPr>
          <w:sz w:val="26"/>
          <w:szCs w:val="26"/>
        </w:rPr>
        <w:t xml:space="preserve">l’impresa </w:t>
      </w:r>
      <w:r w:rsidR="00763818" w:rsidRPr="005A4656">
        <w:rPr>
          <w:sz w:val="26"/>
          <w:szCs w:val="26"/>
        </w:rPr>
        <w:t xml:space="preserve">interdetta </w:t>
      </w:r>
      <w:r w:rsidR="00513576">
        <w:rPr>
          <w:sz w:val="26"/>
          <w:szCs w:val="26"/>
        </w:rPr>
        <w:t xml:space="preserve">è stato arrecato </w:t>
      </w:r>
      <w:r w:rsidR="003D7DFF" w:rsidRPr="005A4656">
        <w:rPr>
          <w:sz w:val="26"/>
          <w:szCs w:val="26"/>
        </w:rPr>
        <w:t>un danno</w:t>
      </w:r>
      <w:r w:rsidR="00763818" w:rsidRPr="005A4656">
        <w:rPr>
          <w:sz w:val="26"/>
          <w:szCs w:val="26"/>
        </w:rPr>
        <w:t xml:space="preserve"> d</w:t>
      </w:r>
      <w:r w:rsidR="00A45B18">
        <w:rPr>
          <w:sz w:val="26"/>
          <w:szCs w:val="26"/>
        </w:rPr>
        <w:t>i</w:t>
      </w:r>
      <w:r w:rsidR="00763818" w:rsidRPr="005A4656">
        <w:rPr>
          <w:sz w:val="26"/>
          <w:szCs w:val="26"/>
        </w:rPr>
        <w:t xml:space="preserve"> un </w:t>
      </w:r>
      <w:r w:rsidR="00513576">
        <w:rPr>
          <w:sz w:val="26"/>
          <w:szCs w:val="26"/>
        </w:rPr>
        <w:t xml:space="preserve">suo </w:t>
      </w:r>
      <w:r w:rsidR="00763818" w:rsidRPr="005A4656">
        <w:rPr>
          <w:sz w:val="26"/>
          <w:szCs w:val="26"/>
        </w:rPr>
        <w:t>bene</w:t>
      </w:r>
      <w:r w:rsidR="003D7DFF" w:rsidRPr="005A4656">
        <w:rPr>
          <w:sz w:val="26"/>
          <w:szCs w:val="26"/>
        </w:rPr>
        <w:t xml:space="preserve"> </w:t>
      </w:r>
      <w:r w:rsidR="00513576">
        <w:rPr>
          <w:sz w:val="26"/>
          <w:szCs w:val="26"/>
        </w:rPr>
        <w:t xml:space="preserve">da parte </w:t>
      </w:r>
      <w:r w:rsidR="003D7DFF" w:rsidRPr="005A4656">
        <w:rPr>
          <w:sz w:val="26"/>
          <w:szCs w:val="26"/>
        </w:rPr>
        <w:t xml:space="preserve">di </w:t>
      </w:r>
      <w:r w:rsidR="00513576" w:rsidRPr="005A4656">
        <w:rPr>
          <w:sz w:val="26"/>
          <w:szCs w:val="26"/>
        </w:rPr>
        <w:t>un’amministrazione</w:t>
      </w:r>
      <w:r w:rsidR="00513576">
        <w:rPr>
          <w:sz w:val="26"/>
          <w:szCs w:val="26"/>
        </w:rPr>
        <w:t xml:space="preserve"> (con </w:t>
      </w:r>
      <w:r w:rsidR="003D7DFF" w:rsidRPr="005A4656">
        <w:rPr>
          <w:sz w:val="26"/>
          <w:szCs w:val="26"/>
        </w:rPr>
        <w:t>un</w:t>
      </w:r>
      <w:r w:rsidR="00513576">
        <w:rPr>
          <w:sz w:val="26"/>
          <w:szCs w:val="26"/>
        </w:rPr>
        <w:t xml:space="preserve">a mera </w:t>
      </w:r>
      <w:r w:rsidR="003D7DFF" w:rsidRPr="005A4656">
        <w:rPr>
          <w:sz w:val="26"/>
          <w:szCs w:val="26"/>
        </w:rPr>
        <w:t xml:space="preserve">attività non </w:t>
      </w:r>
      <w:proofErr w:type="spellStart"/>
      <w:r w:rsidR="003D7DFF" w:rsidRPr="005A4656">
        <w:rPr>
          <w:sz w:val="26"/>
          <w:szCs w:val="26"/>
        </w:rPr>
        <w:t>provvedimentale</w:t>
      </w:r>
      <w:proofErr w:type="spellEnd"/>
      <w:r w:rsidR="00513576">
        <w:rPr>
          <w:sz w:val="26"/>
          <w:szCs w:val="26"/>
        </w:rPr>
        <w:t>)</w:t>
      </w:r>
      <w:r w:rsidR="00763818" w:rsidRPr="005A4656">
        <w:rPr>
          <w:sz w:val="26"/>
          <w:szCs w:val="26"/>
        </w:rPr>
        <w:t>,</w:t>
      </w:r>
      <w:r w:rsidR="003D7DFF" w:rsidRPr="005A4656">
        <w:rPr>
          <w:sz w:val="26"/>
          <w:szCs w:val="26"/>
        </w:rPr>
        <w:t xml:space="preserve"> non ha diritto al risarcimento</w:t>
      </w:r>
      <w:r w:rsidR="00763818" w:rsidRPr="005A4656">
        <w:rPr>
          <w:sz w:val="26"/>
          <w:szCs w:val="26"/>
        </w:rPr>
        <w:t>?</w:t>
      </w:r>
      <w:r w:rsidR="00BC3925" w:rsidRPr="005A4656">
        <w:rPr>
          <w:sz w:val="26"/>
          <w:szCs w:val="26"/>
        </w:rPr>
        <w:t xml:space="preserve"> (es.</w:t>
      </w:r>
      <w:r w:rsidR="00763818" w:rsidRPr="005A4656">
        <w:rPr>
          <w:sz w:val="26"/>
          <w:szCs w:val="26"/>
        </w:rPr>
        <w:t>,</w:t>
      </w:r>
      <w:r w:rsidR="00BC3925" w:rsidRPr="005A4656">
        <w:rPr>
          <w:sz w:val="26"/>
          <w:szCs w:val="26"/>
        </w:rPr>
        <w:t xml:space="preserve"> un incidente stradale</w:t>
      </w:r>
      <w:r w:rsidR="00763818" w:rsidRPr="005A4656">
        <w:rPr>
          <w:sz w:val="26"/>
          <w:szCs w:val="26"/>
        </w:rPr>
        <w:t xml:space="preserve"> provocato da un automezzo pubblico</w:t>
      </w:r>
      <w:r w:rsidR="00BC3925" w:rsidRPr="005A4656">
        <w:rPr>
          <w:sz w:val="26"/>
          <w:szCs w:val="26"/>
        </w:rPr>
        <w:t xml:space="preserve">: </w:t>
      </w:r>
      <w:r w:rsidR="00763818" w:rsidRPr="005A4656">
        <w:rPr>
          <w:sz w:val="26"/>
          <w:szCs w:val="26"/>
        </w:rPr>
        <w:t>l’esempio è tratto da</w:t>
      </w:r>
      <w:r w:rsidR="00BC3925" w:rsidRPr="005A4656">
        <w:rPr>
          <w:sz w:val="26"/>
          <w:szCs w:val="26"/>
        </w:rPr>
        <w:t xml:space="preserve"> </w:t>
      </w:r>
      <w:proofErr w:type="spellStart"/>
      <w:r w:rsidR="00BC3925" w:rsidRPr="005A4656">
        <w:rPr>
          <w:sz w:val="26"/>
          <w:szCs w:val="26"/>
        </w:rPr>
        <w:t>Scoca</w:t>
      </w:r>
      <w:proofErr w:type="spellEnd"/>
      <w:r w:rsidR="00763818" w:rsidRPr="005A4656">
        <w:rPr>
          <w:sz w:val="26"/>
          <w:szCs w:val="26"/>
        </w:rPr>
        <w:t xml:space="preserve">: </w:t>
      </w:r>
      <w:r w:rsidR="00763818" w:rsidRPr="005A4656">
        <w:rPr>
          <w:i/>
          <w:sz w:val="26"/>
          <w:szCs w:val="26"/>
        </w:rPr>
        <w:t>Le interdittive antimafia e la razionalità, la ragionevolezza e la costituzionalità della lotta ‘anticipata’ alla criminalità organizzata</w:t>
      </w:r>
      <w:r w:rsidR="00763818" w:rsidRPr="005A4656">
        <w:rPr>
          <w:sz w:val="26"/>
          <w:szCs w:val="26"/>
        </w:rPr>
        <w:t xml:space="preserve">, in </w:t>
      </w:r>
      <w:r w:rsidR="00763818" w:rsidRPr="005A4656">
        <w:rPr>
          <w:i/>
          <w:sz w:val="26"/>
          <w:szCs w:val="26"/>
        </w:rPr>
        <w:t>giust.amm.it</w:t>
      </w:r>
      <w:r w:rsidR="00763818" w:rsidRPr="005A4656">
        <w:rPr>
          <w:sz w:val="26"/>
          <w:szCs w:val="26"/>
        </w:rPr>
        <w:t xml:space="preserve">, </w:t>
      </w:r>
      <w:r w:rsidR="00CA1D32" w:rsidRPr="005A4656">
        <w:rPr>
          <w:sz w:val="26"/>
          <w:szCs w:val="26"/>
        </w:rPr>
        <w:t>6/</w:t>
      </w:r>
      <w:r w:rsidR="00763818" w:rsidRPr="005A4656">
        <w:rPr>
          <w:sz w:val="26"/>
          <w:szCs w:val="26"/>
        </w:rPr>
        <w:t>2018</w:t>
      </w:r>
      <w:r w:rsidR="00BC3925" w:rsidRPr="005A4656">
        <w:rPr>
          <w:sz w:val="26"/>
          <w:szCs w:val="26"/>
        </w:rPr>
        <w:t>)</w:t>
      </w:r>
      <w:r w:rsidR="00763818" w:rsidRPr="005A4656">
        <w:rPr>
          <w:sz w:val="26"/>
          <w:szCs w:val="26"/>
        </w:rPr>
        <w:t>.</w:t>
      </w:r>
    </w:p>
    <w:p w:rsidR="002A7BE7" w:rsidRPr="005A4656" w:rsidRDefault="00763818" w:rsidP="00945E67">
      <w:pPr>
        <w:pStyle w:val="sentnormal"/>
        <w:spacing w:before="0" w:beforeAutospacing="0" w:after="0" w:afterAutospacing="0" w:line="360" w:lineRule="auto"/>
        <w:jc w:val="both"/>
        <w:rPr>
          <w:sz w:val="26"/>
          <w:szCs w:val="26"/>
        </w:rPr>
      </w:pPr>
      <w:r w:rsidRPr="005A4656">
        <w:rPr>
          <w:b/>
          <w:sz w:val="26"/>
          <w:szCs w:val="26"/>
        </w:rPr>
        <w:t>4.</w:t>
      </w:r>
      <w:r w:rsidRPr="005A4656">
        <w:rPr>
          <w:sz w:val="26"/>
          <w:szCs w:val="26"/>
        </w:rPr>
        <w:t xml:space="preserve"> </w:t>
      </w:r>
      <w:r w:rsidR="0048009F" w:rsidRPr="005A4656">
        <w:rPr>
          <w:sz w:val="26"/>
          <w:szCs w:val="26"/>
        </w:rPr>
        <w:t xml:space="preserve">L’apparato motivazionale </w:t>
      </w:r>
      <w:r w:rsidR="004A2FC6" w:rsidRPr="005A4656">
        <w:rPr>
          <w:sz w:val="26"/>
          <w:szCs w:val="26"/>
        </w:rPr>
        <w:t xml:space="preserve">sembra porsi </w:t>
      </w:r>
      <w:r w:rsidR="0048009F" w:rsidRPr="005A4656">
        <w:rPr>
          <w:sz w:val="26"/>
          <w:szCs w:val="26"/>
        </w:rPr>
        <w:t>anche in contrasto con il comma 3 dell’art. 92 del Codice antimafia (così sostituito dall’</w:t>
      </w:r>
      <w:hyperlink r:id="rId7" w:history="1">
        <w:r w:rsidR="0048009F" w:rsidRPr="005A4656">
          <w:rPr>
            <w:rStyle w:val="linkneltesto"/>
            <w:sz w:val="26"/>
            <w:szCs w:val="26"/>
          </w:rPr>
          <w:t xml:space="preserve">art. 3, comma 1, lett. b), n. 3), </w:t>
        </w:r>
        <w:r w:rsidR="00D13D03" w:rsidRPr="005A4656">
          <w:rPr>
            <w:rStyle w:val="linkneltesto"/>
            <w:sz w:val="26"/>
            <w:szCs w:val="26"/>
          </w:rPr>
          <w:t>del d.lgs.</w:t>
        </w:r>
        <w:r w:rsidR="0048009F" w:rsidRPr="005A4656">
          <w:rPr>
            <w:rStyle w:val="linkneltesto"/>
            <w:sz w:val="26"/>
            <w:szCs w:val="26"/>
          </w:rPr>
          <w:t xml:space="preserve"> 13 </w:t>
        </w:r>
        <w:r w:rsidR="0048009F" w:rsidRPr="005A4656">
          <w:rPr>
            <w:rStyle w:val="linkneltesto"/>
            <w:sz w:val="26"/>
            <w:szCs w:val="26"/>
          </w:rPr>
          <w:lastRenderedPageBreak/>
          <w:t>ottobre 2014, n. 153</w:t>
        </w:r>
      </w:hyperlink>
      <w:r w:rsidR="0048009F" w:rsidRPr="005A4656">
        <w:rPr>
          <w:sz w:val="26"/>
          <w:szCs w:val="26"/>
        </w:rPr>
        <w:t>), secondo cui “</w:t>
      </w:r>
      <w:r w:rsidR="0048009F" w:rsidRPr="005A4656">
        <w:rPr>
          <w:i/>
          <w:sz w:val="26"/>
          <w:szCs w:val="26"/>
        </w:rPr>
        <w:t>i soggetti di cui all</w:t>
      </w:r>
      <w:r w:rsidR="00D13D03" w:rsidRPr="005A4656">
        <w:rPr>
          <w:i/>
          <w:sz w:val="26"/>
          <w:szCs w:val="26"/>
        </w:rPr>
        <w:t>’</w:t>
      </w:r>
      <w:hyperlink r:id="rId8" w:history="1">
        <w:r w:rsidR="0048009F" w:rsidRPr="005A4656">
          <w:rPr>
            <w:rStyle w:val="linkneltesto"/>
            <w:i/>
            <w:sz w:val="26"/>
            <w:szCs w:val="26"/>
          </w:rPr>
          <w:t>articolo 83</w:t>
        </w:r>
      </w:hyperlink>
      <w:r w:rsidR="0048009F" w:rsidRPr="005A4656">
        <w:rPr>
          <w:i/>
          <w:sz w:val="26"/>
          <w:szCs w:val="26"/>
        </w:rPr>
        <w:t>, commi 1 e 2</w:t>
      </w:r>
      <w:r w:rsidR="00D13D03" w:rsidRPr="005A4656">
        <w:rPr>
          <w:sz w:val="26"/>
          <w:szCs w:val="26"/>
        </w:rPr>
        <w:t>” (ossia, le</w:t>
      </w:r>
      <w:r w:rsidR="00370B6E" w:rsidRPr="005A4656">
        <w:rPr>
          <w:sz w:val="26"/>
          <w:szCs w:val="26"/>
        </w:rPr>
        <w:t xml:space="preserve"> pubbliche amministrazioni e gli enti pubblici, anche costituiti in stazioni uniche appaltanti, gli enti e le aziende vigilati dallo Stato o da altro ente pubblico e le società o imprese comunque controllate dallo Stato o da altro ente pubblico nonché i concessionari di lavori o di servizi pubblici</w:t>
      </w:r>
      <w:r w:rsidR="00D13D03" w:rsidRPr="005A4656">
        <w:rPr>
          <w:sz w:val="26"/>
          <w:szCs w:val="26"/>
        </w:rPr>
        <w:t>)</w:t>
      </w:r>
      <w:r w:rsidR="0048009F" w:rsidRPr="005A4656">
        <w:rPr>
          <w:sz w:val="26"/>
          <w:szCs w:val="26"/>
        </w:rPr>
        <w:t xml:space="preserve"> </w:t>
      </w:r>
      <w:r w:rsidR="00D13D03" w:rsidRPr="005A4656">
        <w:rPr>
          <w:sz w:val="26"/>
          <w:szCs w:val="26"/>
        </w:rPr>
        <w:t>“</w:t>
      </w:r>
      <w:r w:rsidR="0048009F" w:rsidRPr="005A4656">
        <w:rPr>
          <w:i/>
          <w:sz w:val="26"/>
          <w:szCs w:val="26"/>
        </w:rPr>
        <w:t>revocano le autorizzazioni e le concessioni o recedono dai contratti, fatto salvo il pagamento del valore delle opere già eseguite e il rimborso delle spese sostenute per l</w:t>
      </w:r>
      <w:r w:rsidR="00D13D03" w:rsidRPr="005A4656">
        <w:rPr>
          <w:i/>
          <w:sz w:val="26"/>
          <w:szCs w:val="26"/>
        </w:rPr>
        <w:t>’</w:t>
      </w:r>
      <w:r w:rsidR="0048009F" w:rsidRPr="005A4656">
        <w:rPr>
          <w:i/>
          <w:sz w:val="26"/>
          <w:szCs w:val="26"/>
        </w:rPr>
        <w:t>esecuzione del rimanente, nei limiti delle utilità conseguite</w:t>
      </w:r>
      <w:r w:rsidR="00D13D03" w:rsidRPr="005A4656">
        <w:rPr>
          <w:sz w:val="26"/>
          <w:szCs w:val="26"/>
        </w:rPr>
        <w:t>”</w:t>
      </w:r>
      <w:r w:rsidR="0048009F" w:rsidRPr="005A4656">
        <w:rPr>
          <w:sz w:val="26"/>
          <w:szCs w:val="26"/>
        </w:rPr>
        <w:t>.</w:t>
      </w:r>
      <w:r w:rsidR="00D13D03" w:rsidRPr="005A4656">
        <w:rPr>
          <w:sz w:val="26"/>
          <w:szCs w:val="26"/>
        </w:rPr>
        <w:t xml:space="preserve"> Ben vero nella specie, accanto alla quasi automaticità della revoca o del recesso (</w:t>
      </w:r>
      <w:r w:rsidR="00D13D03" w:rsidRPr="005A4656">
        <w:rPr>
          <w:i/>
          <w:sz w:val="26"/>
          <w:szCs w:val="26"/>
        </w:rPr>
        <w:t>quasi</w:t>
      </w:r>
      <w:r w:rsidR="00D13D03" w:rsidRPr="005A4656">
        <w:rPr>
          <w:sz w:val="26"/>
          <w:szCs w:val="26"/>
        </w:rPr>
        <w:t xml:space="preserve">, in quanto per talune fattispecie va accertata la presenza di requisiti che escludono la </w:t>
      </w:r>
      <w:r w:rsidRPr="005A4656">
        <w:rPr>
          <w:sz w:val="26"/>
          <w:szCs w:val="26"/>
        </w:rPr>
        <w:t>r</w:t>
      </w:r>
      <w:r w:rsidR="00D13D03" w:rsidRPr="005A4656">
        <w:rPr>
          <w:sz w:val="26"/>
          <w:szCs w:val="26"/>
        </w:rPr>
        <w:t xml:space="preserve">isoluzione contrattuale o </w:t>
      </w:r>
      <w:r w:rsidRPr="005A4656">
        <w:rPr>
          <w:sz w:val="26"/>
          <w:szCs w:val="26"/>
        </w:rPr>
        <w:t xml:space="preserve">la revoca </w:t>
      </w:r>
      <w:proofErr w:type="spellStart"/>
      <w:r w:rsidR="00D13D03" w:rsidRPr="005A4656">
        <w:rPr>
          <w:sz w:val="26"/>
          <w:szCs w:val="26"/>
        </w:rPr>
        <w:t>provvedimentale</w:t>
      </w:r>
      <w:proofErr w:type="spellEnd"/>
      <w:r w:rsidR="00D13D03" w:rsidRPr="005A4656">
        <w:rPr>
          <w:sz w:val="26"/>
          <w:szCs w:val="26"/>
        </w:rPr>
        <w:t xml:space="preserve">), </w:t>
      </w:r>
      <w:r w:rsidR="00513576" w:rsidRPr="005A4656">
        <w:rPr>
          <w:sz w:val="26"/>
          <w:szCs w:val="26"/>
        </w:rPr>
        <w:t xml:space="preserve">il legislatore </w:t>
      </w:r>
      <w:r w:rsidR="00D13D03" w:rsidRPr="005A4656">
        <w:rPr>
          <w:sz w:val="26"/>
          <w:szCs w:val="26"/>
        </w:rPr>
        <w:t xml:space="preserve">statuisce che alla ditta interdetta debba essere corrisposto l’importo di quanto eseguito e di quanto speso per eseguire la rimanente prestazione, nei limiti delle utilità conseguite. </w:t>
      </w:r>
      <w:r w:rsidR="00513576">
        <w:rPr>
          <w:sz w:val="26"/>
          <w:szCs w:val="26"/>
        </w:rPr>
        <w:t xml:space="preserve">Per la verità, anche se non fosse stata introdotta una disposizione di tal genere, il pagamento dell’importo nascente dall’obbligazione o derivante dalla lesione del diritto soggettivo sembrerebbe comunque atto dovuto.   </w:t>
      </w:r>
      <w:r w:rsidR="00D13D03" w:rsidRPr="005A4656">
        <w:rPr>
          <w:sz w:val="26"/>
          <w:szCs w:val="26"/>
        </w:rPr>
        <w:t xml:space="preserve">  </w:t>
      </w:r>
      <w:r w:rsidR="003D7DFF" w:rsidRPr="005A4656">
        <w:rPr>
          <w:sz w:val="26"/>
          <w:szCs w:val="26"/>
        </w:rPr>
        <w:t xml:space="preserve"> </w:t>
      </w:r>
      <w:r w:rsidR="002A7BE7" w:rsidRPr="005A4656">
        <w:rPr>
          <w:sz w:val="26"/>
          <w:szCs w:val="26"/>
        </w:rPr>
        <w:t xml:space="preserve"> </w:t>
      </w:r>
    </w:p>
    <w:p w:rsidR="0024206D" w:rsidRPr="005A4656" w:rsidRDefault="00D13D03" w:rsidP="00945E67">
      <w:pPr>
        <w:pStyle w:val="sentnormal"/>
        <w:spacing w:before="0" w:beforeAutospacing="0" w:after="0" w:afterAutospacing="0" w:line="360" w:lineRule="auto"/>
        <w:jc w:val="both"/>
        <w:rPr>
          <w:sz w:val="26"/>
          <w:szCs w:val="26"/>
        </w:rPr>
      </w:pPr>
      <w:r w:rsidRPr="005A4656">
        <w:rPr>
          <w:sz w:val="26"/>
          <w:szCs w:val="26"/>
        </w:rPr>
        <w:t>Ciò significa che, ferma restando l’interruzione del rapporto giuridico</w:t>
      </w:r>
      <w:r w:rsidR="00513576">
        <w:rPr>
          <w:sz w:val="26"/>
          <w:szCs w:val="26"/>
        </w:rPr>
        <w:t xml:space="preserve"> per la risoluzione contrattuale</w:t>
      </w:r>
      <w:r w:rsidRPr="005A4656">
        <w:rPr>
          <w:sz w:val="26"/>
          <w:szCs w:val="26"/>
        </w:rPr>
        <w:t xml:space="preserve">, la ditta ha comunque diritto a percepire </w:t>
      </w:r>
      <w:r w:rsidR="00CA1D32" w:rsidRPr="005A4656">
        <w:rPr>
          <w:sz w:val="26"/>
          <w:szCs w:val="26"/>
        </w:rPr>
        <w:t>la controprestazione economica</w:t>
      </w:r>
      <w:r w:rsidRPr="005A4656">
        <w:rPr>
          <w:sz w:val="26"/>
          <w:szCs w:val="26"/>
        </w:rPr>
        <w:t xml:space="preserve">, senza poter </w:t>
      </w:r>
      <w:r w:rsidR="00CA1D32" w:rsidRPr="005A4656">
        <w:rPr>
          <w:sz w:val="26"/>
          <w:szCs w:val="26"/>
        </w:rPr>
        <w:t xml:space="preserve">però </w:t>
      </w:r>
      <w:r w:rsidRPr="005A4656">
        <w:rPr>
          <w:sz w:val="26"/>
          <w:szCs w:val="26"/>
        </w:rPr>
        <w:t>v</w:t>
      </w:r>
      <w:r w:rsidR="0024206D" w:rsidRPr="005A4656">
        <w:rPr>
          <w:sz w:val="26"/>
          <w:szCs w:val="26"/>
        </w:rPr>
        <w:t>antare alcunché</w:t>
      </w:r>
      <w:r w:rsidR="00763818" w:rsidRPr="005A4656">
        <w:rPr>
          <w:sz w:val="26"/>
          <w:szCs w:val="26"/>
        </w:rPr>
        <w:t xml:space="preserve"> a titolo risarcitorio</w:t>
      </w:r>
      <w:r w:rsidR="0024206D" w:rsidRPr="005A4656">
        <w:rPr>
          <w:sz w:val="26"/>
          <w:szCs w:val="26"/>
        </w:rPr>
        <w:t xml:space="preserve">. La ragione </w:t>
      </w:r>
      <w:r w:rsidR="00763818" w:rsidRPr="005A4656">
        <w:rPr>
          <w:sz w:val="26"/>
          <w:szCs w:val="26"/>
        </w:rPr>
        <w:t xml:space="preserve">del conseguimento del </w:t>
      </w:r>
      <w:proofErr w:type="spellStart"/>
      <w:r w:rsidR="00763818" w:rsidRPr="005A4656">
        <w:rPr>
          <w:i/>
          <w:sz w:val="26"/>
          <w:szCs w:val="26"/>
        </w:rPr>
        <w:t>tantumdem</w:t>
      </w:r>
      <w:proofErr w:type="spellEnd"/>
      <w:r w:rsidR="00763818" w:rsidRPr="005A4656">
        <w:rPr>
          <w:sz w:val="26"/>
          <w:szCs w:val="26"/>
        </w:rPr>
        <w:t xml:space="preserve"> </w:t>
      </w:r>
      <w:r w:rsidR="0024206D" w:rsidRPr="005A4656">
        <w:rPr>
          <w:sz w:val="26"/>
          <w:szCs w:val="26"/>
        </w:rPr>
        <w:t>è evidente</w:t>
      </w:r>
      <w:r w:rsidR="00763818" w:rsidRPr="005A4656">
        <w:rPr>
          <w:sz w:val="26"/>
          <w:szCs w:val="26"/>
        </w:rPr>
        <w:t>,</w:t>
      </w:r>
      <w:r w:rsidR="0024206D" w:rsidRPr="005A4656">
        <w:rPr>
          <w:sz w:val="26"/>
          <w:szCs w:val="26"/>
        </w:rPr>
        <w:t xml:space="preserve"> per almeno due aspetti: a) in forza del principio generale del diritto del prestatore a percepire </w:t>
      </w:r>
      <w:r w:rsidR="00763818" w:rsidRPr="005A4656">
        <w:rPr>
          <w:sz w:val="26"/>
          <w:szCs w:val="26"/>
        </w:rPr>
        <w:t xml:space="preserve">il corrispettivo, totale o parziale che sia, </w:t>
      </w:r>
      <w:r w:rsidR="0024206D" w:rsidRPr="005A4656">
        <w:rPr>
          <w:sz w:val="26"/>
          <w:szCs w:val="26"/>
        </w:rPr>
        <w:t xml:space="preserve">da colui che ha </w:t>
      </w:r>
      <w:r w:rsidR="00763818" w:rsidRPr="005A4656">
        <w:rPr>
          <w:sz w:val="26"/>
          <w:szCs w:val="26"/>
        </w:rPr>
        <w:t>beneficiato del</w:t>
      </w:r>
      <w:r w:rsidR="0024206D" w:rsidRPr="005A4656">
        <w:rPr>
          <w:sz w:val="26"/>
          <w:szCs w:val="26"/>
        </w:rPr>
        <w:t xml:space="preserve">la prestazione (art. </w:t>
      </w:r>
      <w:r w:rsidR="004E35DA" w:rsidRPr="005A4656">
        <w:rPr>
          <w:sz w:val="26"/>
          <w:szCs w:val="26"/>
        </w:rPr>
        <w:t xml:space="preserve">1173 e ss. </w:t>
      </w:r>
      <w:r w:rsidR="0024206D" w:rsidRPr="005A4656">
        <w:rPr>
          <w:sz w:val="26"/>
          <w:szCs w:val="26"/>
        </w:rPr>
        <w:t xml:space="preserve">c.c.), </w:t>
      </w:r>
      <w:r w:rsidR="00763818" w:rsidRPr="005A4656">
        <w:rPr>
          <w:sz w:val="26"/>
          <w:szCs w:val="26"/>
        </w:rPr>
        <w:t xml:space="preserve">in ragione </w:t>
      </w:r>
      <w:r w:rsidR="0024206D" w:rsidRPr="005A4656">
        <w:rPr>
          <w:sz w:val="26"/>
          <w:szCs w:val="26"/>
        </w:rPr>
        <w:t>di un contratto valido, ancorché successivamente divenuto inefficace</w:t>
      </w:r>
      <w:r w:rsidR="004E35DA" w:rsidRPr="005A4656">
        <w:rPr>
          <w:sz w:val="26"/>
          <w:szCs w:val="26"/>
        </w:rPr>
        <w:t xml:space="preserve"> (art. 1464 c.c. sull’impossibilità parziale sopravvenuta)</w:t>
      </w:r>
      <w:r w:rsidR="0024206D" w:rsidRPr="005A4656">
        <w:rPr>
          <w:sz w:val="26"/>
          <w:szCs w:val="26"/>
        </w:rPr>
        <w:t xml:space="preserve">; b) la necessità da parte della ditta interdetta di </w:t>
      </w:r>
      <w:r w:rsidR="00763818" w:rsidRPr="005A4656">
        <w:rPr>
          <w:sz w:val="26"/>
          <w:szCs w:val="26"/>
        </w:rPr>
        <w:t xml:space="preserve">dover far fronte ai </w:t>
      </w:r>
      <w:r w:rsidR="0024206D" w:rsidRPr="005A4656">
        <w:rPr>
          <w:sz w:val="26"/>
          <w:szCs w:val="26"/>
        </w:rPr>
        <w:t>paga</w:t>
      </w:r>
      <w:r w:rsidR="00763818" w:rsidRPr="005A4656">
        <w:rPr>
          <w:sz w:val="26"/>
          <w:szCs w:val="26"/>
        </w:rPr>
        <w:t>menti dei</w:t>
      </w:r>
      <w:r w:rsidR="0024206D" w:rsidRPr="005A4656">
        <w:rPr>
          <w:sz w:val="26"/>
          <w:szCs w:val="26"/>
        </w:rPr>
        <w:t xml:space="preserve"> propri dipendenti e fornitori </w:t>
      </w:r>
      <w:r w:rsidR="00763818" w:rsidRPr="005A4656">
        <w:rPr>
          <w:sz w:val="26"/>
          <w:szCs w:val="26"/>
        </w:rPr>
        <w:t xml:space="preserve">per </w:t>
      </w:r>
      <w:r w:rsidR="0024206D" w:rsidRPr="005A4656">
        <w:rPr>
          <w:sz w:val="26"/>
          <w:szCs w:val="26"/>
        </w:rPr>
        <w:t>le prestazioni eseguite (il che</w:t>
      </w:r>
      <w:r w:rsidR="00763818" w:rsidRPr="005A4656">
        <w:rPr>
          <w:sz w:val="26"/>
          <w:szCs w:val="26"/>
        </w:rPr>
        <w:t>, peraltro,</w:t>
      </w:r>
      <w:r w:rsidR="0024206D" w:rsidRPr="005A4656">
        <w:rPr>
          <w:sz w:val="26"/>
          <w:szCs w:val="26"/>
        </w:rPr>
        <w:t xml:space="preserve"> </w:t>
      </w:r>
      <w:r w:rsidR="00763818" w:rsidRPr="005A4656">
        <w:rPr>
          <w:sz w:val="26"/>
          <w:szCs w:val="26"/>
        </w:rPr>
        <w:t>potrebbe comunque non porla</w:t>
      </w:r>
      <w:r w:rsidR="0024206D" w:rsidRPr="005A4656">
        <w:rPr>
          <w:sz w:val="26"/>
          <w:szCs w:val="26"/>
        </w:rPr>
        <w:t xml:space="preserve"> </w:t>
      </w:r>
      <w:r w:rsidR="004E35DA" w:rsidRPr="005A4656">
        <w:rPr>
          <w:sz w:val="26"/>
          <w:szCs w:val="26"/>
        </w:rPr>
        <w:t xml:space="preserve">del tutto </w:t>
      </w:r>
      <w:r w:rsidR="0024206D" w:rsidRPr="005A4656">
        <w:rPr>
          <w:sz w:val="26"/>
          <w:szCs w:val="26"/>
        </w:rPr>
        <w:t xml:space="preserve">al riparo da eventuali azioni risarcitorie per </w:t>
      </w:r>
      <w:r w:rsidR="004E35DA" w:rsidRPr="005A4656">
        <w:rPr>
          <w:sz w:val="26"/>
          <w:szCs w:val="26"/>
        </w:rPr>
        <w:t xml:space="preserve">la risoluzione </w:t>
      </w:r>
      <w:r w:rsidR="0024206D" w:rsidRPr="005A4656">
        <w:rPr>
          <w:sz w:val="26"/>
          <w:szCs w:val="26"/>
        </w:rPr>
        <w:t>dei contratti: salvo</w:t>
      </w:r>
      <w:r w:rsidR="00763818" w:rsidRPr="005A4656">
        <w:rPr>
          <w:sz w:val="26"/>
          <w:szCs w:val="26"/>
        </w:rPr>
        <w:t>,</w:t>
      </w:r>
      <w:r w:rsidR="0024206D" w:rsidRPr="005A4656">
        <w:rPr>
          <w:sz w:val="26"/>
          <w:szCs w:val="26"/>
        </w:rPr>
        <w:t xml:space="preserve"> poi</w:t>
      </w:r>
      <w:r w:rsidR="00763818" w:rsidRPr="005A4656">
        <w:rPr>
          <w:sz w:val="26"/>
          <w:szCs w:val="26"/>
        </w:rPr>
        <w:t>,</w:t>
      </w:r>
      <w:r w:rsidR="0024206D" w:rsidRPr="005A4656">
        <w:rPr>
          <w:sz w:val="26"/>
          <w:szCs w:val="26"/>
        </w:rPr>
        <w:t xml:space="preserve"> vedere se quest</w:t>
      </w:r>
      <w:r w:rsidR="004E35DA" w:rsidRPr="005A4656">
        <w:rPr>
          <w:sz w:val="26"/>
          <w:szCs w:val="26"/>
        </w:rPr>
        <w:t>a risoluzione sia</w:t>
      </w:r>
      <w:r w:rsidR="0024206D" w:rsidRPr="005A4656">
        <w:rPr>
          <w:sz w:val="26"/>
          <w:szCs w:val="26"/>
        </w:rPr>
        <w:t xml:space="preserve"> </w:t>
      </w:r>
      <w:r w:rsidR="004E35DA" w:rsidRPr="005A4656">
        <w:rPr>
          <w:sz w:val="26"/>
          <w:szCs w:val="26"/>
        </w:rPr>
        <w:t>imputabile</w:t>
      </w:r>
      <w:r w:rsidR="0024206D" w:rsidRPr="005A4656">
        <w:rPr>
          <w:sz w:val="26"/>
          <w:szCs w:val="26"/>
        </w:rPr>
        <w:t xml:space="preserve"> a</w:t>
      </w:r>
      <w:r w:rsidR="004E35DA" w:rsidRPr="005A4656">
        <w:rPr>
          <w:sz w:val="26"/>
          <w:szCs w:val="26"/>
        </w:rPr>
        <w:t>d un</w:t>
      </w:r>
      <w:r w:rsidR="0024206D" w:rsidRPr="005A4656">
        <w:rPr>
          <w:sz w:val="26"/>
          <w:szCs w:val="26"/>
        </w:rPr>
        <w:t xml:space="preserve"> </w:t>
      </w:r>
      <w:r w:rsidR="0024206D" w:rsidRPr="005A4656">
        <w:rPr>
          <w:i/>
          <w:sz w:val="26"/>
          <w:szCs w:val="26"/>
        </w:rPr>
        <w:t xml:space="preserve">factum </w:t>
      </w:r>
      <w:proofErr w:type="spellStart"/>
      <w:r w:rsidR="0024206D" w:rsidRPr="005A4656">
        <w:rPr>
          <w:i/>
          <w:sz w:val="26"/>
          <w:szCs w:val="26"/>
        </w:rPr>
        <w:t>principis</w:t>
      </w:r>
      <w:proofErr w:type="spellEnd"/>
      <w:r w:rsidR="0024206D" w:rsidRPr="005A4656">
        <w:rPr>
          <w:sz w:val="26"/>
          <w:szCs w:val="26"/>
        </w:rPr>
        <w:t xml:space="preserve">, ad una sopravvenuta </w:t>
      </w:r>
      <w:r w:rsidR="004E35DA" w:rsidRPr="005A4656">
        <w:rPr>
          <w:sz w:val="26"/>
          <w:szCs w:val="26"/>
        </w:rPr>
        <w:t xml:space="preserve">oggettiva </w:t>
      </w:r>
      <w:r w:rsidR="0024206D" w:rsidRPr="005A4656">
        <w:rPr>
          <w:sz w:val="26"/>
          <w:szCs w:val="26"/>
        </w:rPr>
        <w:t xml:space="preserve">impossibilità, o </w:t>
      </w:r>
      <w:r w:rsidR="004E35DA" w:rsidRPr="005A4656">
        <w:rPr>
          <w:sz w:val="26"/>
          <w:szCs w:val="26"/>
        </w:rPr>
        <w:t>ad un</w:t>
      </w:r>
      <w:r w:rsidR="0024206D" w:rsidRPr="005A4656">
        <w:rPr>
          <w:sz w:val="26"/>
          <w:szCs w:val="26"/>
        </w:rPr>
        <w:t xml:space="preserve"> fatto</w:t>
      </w:r>
      <w:r w:rsidR="00513576">
        <w:rPr>
          <w:sz w:val="26"/>
          <w:szCs w:val="26"/>
        </w:rPr>
        <w:t xml:space="preserve"> imputabile</w:t>
      </w:r>
      <w:r w:rsidR="0024206D" w:rsidRPr="005A4656">
        <w:rPr>
          <w:sz w:val="26"/>
          <w:szCs w:val="26"/>
        </w:rPr>
        <w:t xml:space="preserve"> </w:t>
      </w:r>
      <w:r w:rsidR="00513576">
        <w:rPr>
          <w:sz w:val="26"/>
          <w:szCs w:val="26"/>
        </w:rPr>
        <w:t>a</w:t>
      </w:r>
      <w:r w:rsidR="0024206D" w:rsidRPr="005A4656">
        <w:rPr>
          <w:sz w:val="26"/>
          <w:szCs w:val="26"/>
        </w:rPr>
        <w:t xml:space="preserve">l committente interdetto). </w:t>
      </w:r>
    </w:p>
    <w:p w:rsidR="00596935" w:rsidRPr="005A4656" w:rsidRDefault="0024206D" w:rsidP="00945E67">
      <w:pPr>
        <w:pStyle w:val="sentnormal"/>
        <w:spacing w:before="0" w:beforeAutospacing="0" w:after="0" w:afterAutospacing="0" w:line="360" w:lineRule="auto"/>
        <w:jc w:val="both"/>
        <w:rPr>
          <w:sz w:val="26"/>
          <w:szCs w:val="26"/>
        </w:rPr>
      </w:pPr>
      <w:r w:rsidRPr="005A4656">
        <w:rPr>
          <w:sz w:val="26"/>
          <w:szCs w:val="26"/>
        </w:rPr>
        <w:t>In questi casi, come efficacemente ed autorevolmente sostenuto (</w:t>
      </w:r>
      <w:proofErr w:type="spellStart"/>
      <w:r w:rsidRPr="005A4656">
        <w:rPr>
          <w:sz w:val="26"/>
          <w:szCs w:val="26"/>
        </w:rPr>
        <w:t>Scoca</w:t>
      </w:r>
      <w:proofErr w:type="spellEnd"/>
      <w:r w:rsidR="00773FF2" w:rsidRPr="005A4656">
        <w:rPr>
          <w:sz w:val="26"/>
          <w:szCs w:val="26"/>
        </w:rPr>
        <w:t xml:space="preserve">, </w:t>
      </w:r>
      <w:r w:rsidR="00773FF2" w:rsidRPr="005A4656">
        <w:rPr>
          <w:i/>
          <w:sz w:val="26"/>
          <w:szCs w:val="26"/>
        </w:rPr>
        <w:t>op. cit.</w:t>
      </w:r>
      <w:r w:rsidRPr="005A4656">
        <w:rPr>
          <w:sz w:val="26"/>
          <w:szCs w:val="26"/>
        </w:rPr>
        <w:t xml:space="preserve">), le somme discendenti da prestazioni relative al contratto o </w:t>
      </w:r>
      <w:r w:rsidR="004E35DA" w:rsidRPr="005A4656">
        <w:rPr>
          <w:sz w:val="26"/>
          <w:szCs w:val="26"/>
        </w:rPr>
        <w:t>d</w:t>
      </w:r>
      <w:r w:rsidRPr="005A4656">
        <w:rPr>
          <w:sz w:val="26"/>
          <w:szCs w:val="26"/>
        </w:rPr>
        <w:t xml:space="preserve">all’accertato risarcimento fanno parte del patrimonio dell’impresa, </w:t>
      </w:r>
      <w:r w:rsidR="00513576">
        <w:rPr>
          <w:sz w:val="26"/>
          <w:szCs w:val="26"/>
        </w:rPr>
        <w:t xml:space="preserve">che va reintegrato, </w:t>
      </w:r>
      <w:r w:rsidRPr="005A4656">
        <w:rPr>
          <w:sz w:val="26"/>
          <w:szCs w:val="26"/>
        </w:rPr>
        <w:t xml:space="preserve">ed essa vanta un diritto </w:t>
      </w:r>
      <w:r w:rsidRPr="005A4656">
        <w:rPr>
          <w:sz w:val="26"/>
          <w:szCs w:val="26"/>
        </w:rPr>
        <w:lastRenderedPageBreak/>
        <w:t>soggettivo pieno</w:t>
      </w:r>
      <w:r w:rsidR="00BC3925" w:rsidRPr="005A4656">
        <w:rPr>
          <w:sz w:val="26"/>
          <w:szCs w:val="26"/>
        </w:rPr>
        <w:t>, che trova fonte e riferimento nel codice civile,</w:t>
      </w:r>
      <w:r w:rsidRPr="005A4656">
        <w:rPr>
          <w:sz w:val="26"/>
          <w:szCs w:val="26"/>
        </w:rPr>
        <w:t xml:space="preserve"> e non un interesse legittimo a conseguirle dall’amministrazione</w:t>
      </w:r>
      <w:r w:rsidR="00763818" w:rsidRPr="005A4656">
        <w:rPr>
          <w:sz w:val="26"/>
          <w:szCs w:val="26"/>
        </w:rPr>
        <w:t>;</w:t>
      </w:r>
      <w:r w:rsidR="00BC3925" w:rsidRPr="005A4656">
        <w:rPr>
          <w:sz w:val="26"/>
          <w:szCs w:val="26"/>
        </w:rPr>
        <w:t xml:space="preserve"> interesse legittimo che, invece, sorge per effetto del provvedimento ampliativo, con il quale le pubbliche amministrazioni dispongono le erogazioni </w:t>
      </w:r>
      <w:r w:rsidR="00763818" w:rsidRPr="005A4656">
        <w:rPr>
          <w:sz w:val="26"/>
          <w:szCs w:val="26"/>
        </w:rPr>
        <w:t xml:space="preserve">o ‘provvidenze’ </w:t>
      </w:r>
      <w:r w:rsidR="00BC3925" w:rsidRPr="005A4656">
        <w:rPr>
          <w:sz w:val="26"/>
          <w:szCs w:val="26"/>
        </w:rPr>
        <w:t>di matrice pubblicistica di cui alla lettera g) dell’art. 67 cit</w:t>
      </w:r>
      <w:r w:rsidRPr="005A4656">
        <w:rPr>
          <w:sz w:val="26"/>
          <w:szCs w:val="26"/>
        </w:rPr>
        <w:t xml:space="preserve">.  </w:t>
      </w:r>
      <w:r w:rsidR="00D13D03" w:rsidRPr="005A4656">
        <w:rPr>
          <w:sz w:val="26"/>
          <w:szCs w:val="26"/>
        </w:rPr>
        <w:t xml:space="preserve"> </w:t>
      </w:r>
      <w:r w:rsidR="00ED4FC7" w:rsidRPr="005A4656">
        <w:rPr>
          <w:sz w:val="26"/>
          <w:szCs w:val="26"/>
        </w:rPr>
        <w:t xml:space="preserve">  </w:t>
      </w:r>
      <w:r w:rsidR="007D6196" w:rsidRPr="005A4656">
        <w:rPr>
          <w:sz w:val="26"/>
          <w:szCs w:val="26"/>
        </w:rPr>
        <w:t xml:space="preserve"> </w:t>
      </w:r>
      <w:r w:rsidR="006B4CBA" w:rsidRPr="005A4656">
        <w:rPr>
          <w:sz w:val="26"/>
          <w:szCs w:val="26"/>
        </w:rPr>
        <w:t xml:space="preserve"> </w:t>
      </w:r>
      <w:r w:rsidR="00F17E0D" w:rsidRPr="005A4656">
        <w:rPr>
          <w:sz w:val="26"/>
          <w:szCs w:val="26"/>
        </w:rPr>
        <w:t xml:space="preserve">     </w:t>
      </w:r>
      <w:r w:rsidR="00481505" w:rsidRPr="005A4656">
        <w:rPr>
          <w:sz w:val="26"/>
          <w:szCs w:val="26"/>
        </w:rPr>
        <w:t xml:space="preserve">    </w:t>
      </w:r>
      <w:r w:rsidR="00D65445" w:rsidRPr="005A4656">
        <w:rPr>
          <w:sz w:val="26"/>
          <w:szCs w:val="26"/>
        </w:rPr>
        <w:t xml:space="preserve"> </w:t>
      </w:r>
      <w:r w:rsidR="00B92DBD" w:rsidRPr="005A4656">
        <w:rPr>
          <w:sz w:val="26"/>
          <w:szCs w:val="26"/>
        </w:rPr>
        <w:t xml:space="preserve">  </w:t>
      </w:r>
      <w:r w:rsidR="00596935" w:rsidRPr="005A4656">
        <w:rPr>
          <w:sz w:val="26"/>
          <w:szCs w:val="26"/>
        </w:rPr>
        <w:t xml:space="preserve">  </w:t>
      </w:r>
    </w:p>
    <w:p w:rsidR="00596935" w:rsidRPr="005A4656" w:rsidRDefault="00763818"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b/>
          <w:sz w:val="26"/>
          <w:szCs w:val="26"/>
        </w:rPr>
        <w:t>5.</w:t>
      </w:r>
      <w:r w:rsidRPr="005A4656">
        <w:rPr>
          <w:rFonts w:ascii="Times New Roman" w:hAnsi="Times New Roman" w:cs="Times New Roman"/>
          <w:sz w:val="26"/>
          <w:szCs w:val="26"/>
        </w:rPr>
        <w:t xml:space="preserve"> </w:t>
      </w:r>
      <w:r w:rsidR="008213FF" w:rsidRPr="005A4656">
        <w:rPr>
          <w:rFonts w:ascii="Times New Roman" w:hAnsi="Times New Roman" w:cs="Times New Roman"/>
          <w:sz w:val="26"/>
          <w:szCs w:val="26"/>
        </w:rPr>
        <w:t>La sentenza in discorso rifugge dall’interpretazione meramente letterale, che</w:t>
      </w:r>
      <w:r w:rsidR="004E35DA" w:rsidRPr="005A4656">
        <w:rPr>
          <w:rFonts w:ascii="Times New Roman" w:hAnsi="Times New Roman" w:cs="Times New Roman"/>
          <w:sz w:val="26"/>
          <w:szCs w:val="26"/>
        </w:rPr>
        <w:t xml:space="preserve"> non</w:t>
      </w:r>
      <w:r w:rsidR="008213FF" w:rsidRPr="005A4656">
        <w:rPr>
          <w:rFonts w:ascii="Times New Roman" w:hAnsi="Times New Roman" w:cs="Times New Roman"/>
          <w:sz w:val="26"/>
          <w:szCs w:val="26"/>
        </w:rPr>
        <w:t xml:space="preserve"> limit</w:t>
      </w:r>
      <w:r w:rsidR="004E35DA" w:rsidRPr="005A4656">
        <w:rPr>
          <w:rFonts w:ascii="Times New Roman" w:hAnsi="Times New Roman" w:cs="Times New Roman"/>
          <w:sz w:val="26"/>
          <w:szCs w:val="26"/>
        </w:rPr>
        <w:t>a</w:t>
      </w:r>
      <w:r w:rsidR="008213FF" w:rsidRPr="005A4656">
        <w:rPr>
          <w:rFonts w:ascii="Times New Roman" w:hAnsi="Times New Roman" w:cs="Times New Roman"/>
          <w:sz w:val="26"/>
          <w:szCs w:val="26"/>
        </w:rPr>
        <w:t xml:space="preserve"> </w:t>
      </w:r>
      <w:r w:rsidR="00DB3E91" w:rsidRPr="005A4656">
        <w:rPr>
          <w:rFonts w:ascii="Times New Roman" w:hAnsi="Times New Roman" w:cs="Times New Roman"/>
          <w:sz w:val="26"/>
          <w:szCs w:val="26"/>
        </w:rPr>
        <w:t>l’esecuzione della sentenza passata in cosa giudicata, attributiva della somma di cui in condanna, e</w:t>
      </w:r>
      <w:r w:rsidR="008213FF" w:rsidRPr="005A4656">
        <w:rPr>
          <w:rFonts w:ascii="Times New Roman" w:hAnsi="Times New Roman" w:cs="Times New Roman"/>
          <w:sz w:val="26"/>
          <w:szCs w:val="26"/>
        </w:rPr>
        <w:t xml:space="preserve"> preferisce sposare la “</w:t>
      </w:r>
      <w:r w:rsidR="008213FF" w:rsidRPr="005A4656">
        <w:rPr>
          <w:rFonts w:ascii="Times New Roman" w:hAnsi="Times New Roman" w:cs="Times New Roman"/>
          <w:i/>
          <w:sz w:val="26"/>
          <w:szCs w:val="26"/>
        </w:rPr>
        <w:t>interpretazione logico - sistematica (capace di valorizzare la funzione dalla norma e l</w:t>
      </w:r>
      <w:r w:rsidR="00773FF2" w:rsidRPr="005A4656">
        <w:rPr>
          <w:rFonts w:ascii="Times New Roman" w:hAnsi="Times New Roman" w:cs="Times New Roman"/>
          <w:i/>
          <w:sz w:val="26"/>
          <w:szCs w:val="26"/>
        </w:rPr>
        <w:t>’</w:t>
      </w:r>
      <w:r w:rsidR="008213FF" w:rsidRPr="005A4656">
        <w:rPr>
          <w:rFonts w:ascii="Times New Roman" w:hAnsi="Times New Roman" w:cs="Times New Roman"/>
          <w:i/>
          <w:sz w:val="26"/>
          <w:szCs w:val="26"/>
        </w:rPr>
        <w:t>obiettivo con essa perseguito di contrasto a fenomeni di criminalità su base associativa)”</w:t>
      </w:r>
      <w:r w:rsidR="008213FF" w:rsidRPr="005A4656">
        <w:rPr>
          <w:rFonts w:ascii="Times New Roman" w:hAnsi="Times New Roman" w:cs="Times New Roman"/>
          <w:sz w:val="26"/>
          <w:szCs w:val="26"/>
        </w:rPr>
        <w:t xml:space="preserve">. </w:t>
      </w:r>
    </w:p>
    <w:p w:rsidR="0003695F" w:rsidRPr="005A4656" w:rsidRDefault="00773FF2"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 xml:space="preserve">Questo profilo rimanda alla riflessione sui rischi che si corrono nel caso di interpretazioni </w:t>
      </w:r>
      <w:proofErr w:type="spellStart"/>
      <w:r w:rsidRPr="005A4656">
        <w:rPr>
          <w:rFonts w:ascii="Times New Roman" w:hAnsi="Times New Roman" w:cs="Times New Roman"/>
          <w:i/>
          <w:sz w:val="26"/>
          <w:szCs w:val="26"/>
        </w:rPr>
        <w:t>praeter</w:t>
      </w:r>
      <w:proofErr w:type="spellEnd"/>
      <w:r w:rsidRPr="005A4656">
        <w:rPr>
          <w:rFonts w:ascii="Times New Roman" w:hAnsi="Times New Roman" w:cs="Times New Roman"/>
          <w:i/>
          <w:sz w:val="26"/>
          <w:szCs w:val="26"/>
        </w:rPr>
        <w:t xml:space="preserve"> </w:t>
      </w:r>
      <w:proofErr w:type="spellStart"/>
      <w:r w:rsidRPr="005A4656">
        <w:rPr>
          <w:rFonts w:ascii="Times New Roman" w:hAnsi="Times New Roman" w:cs="Times New Roman"/>
          <w:i/>
          <w:sz w:val="26"/>
          <w:szCs w:val="26"/>
        </w:rPr>
        <w:t>legem</w:t>
      </w:r>
      <w:proofErr w:type="spellEnd"/>
      <w:r w:rsidRPr="005A4656">
        <w:rPr>
          <w:rFonts w:ascii="Times New Roman" w:hAnsi="Times New Roman" w:cs="Times New Roman"/>
          <w:sz w:val="26"/>
          <w:szCs w:val="26"/>
        </w:rPr>
        <w:t xml:space="preserve">. </w:t>
      </w:r>
    </w:p>
    <w:p w:rsidR="0003695F" w:rsidRPr="005A4656" w:rsidRDefault="004E35DA"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È noto, d</w:t>
      </w:r>
      <w:r w:rsidR="0003695F" w:rsidRPr="005A4656">
        <w:rPr>
          <w:rFonts w:ascii="Times New Roman" w:hAnsi="Times New Roman" w:cs="Times New Roman"/>
          <w:sz w:val="26"/>
          <w:szCs w:val="26"/>
        </w:rPr>
        <w:t xml:space="preserve">ifatti, </w:t>
      </w:r>
      <w:r w:rsidRPr="005A4656">
        <w:rPr>
          <w:rFonts w:ascii="Times New Roman" w:hAnsi="Times New Roman" w:cs="Times New Roman"/>
          <w:sz w:val="26"/>
          <w:szCs w:val="26"/>
        </w:rPr>
        <w:t xml:space="preserve">che </w:t>
      </w:r>
      <w:r w:rsidR="0003695F" w:rsidRPr="005A4656">
        <w:rPr>
          <w:rFonts w:ascii="Times New Roman" w:hAnsi="Times New Roman" w:cs="Times New Roman"/>
          <w:sz w:val="26"/>
          <w:szCs w:val="26"/>
        </w:rPr>
        <w:t>accanto all</w:t>
      </w:r>
      <w:r w:rsidRPr="005A4656">
        <w:rPr>
          <w:rFonts w:ascii="Times New Roman" w:hAnsi="Times New Roman" w:cs="Times New Roman"/>
          <w:sz w:val="26"/>
          <w:szCs w:val="26"/>
        </w:rPr>
        <w:t>’</w:t>
      </w:r>
      <w:r w:rsidR="0003695F" w:rsidRPr="005A4656">
        <w:rPr>
          <w:rFonts w:ascii="Times New Roman" w:hAnsi="Times New Roman" w:cs="Times New Roman"/>
          <w:sz w:val="26"/>
          <w:szCs w:val="26"/>
        </w:rPr>
        <w:t>interpretazione letterale esistono altri criteri</w:t>
      </w:r>
      <w:r w:rsidRPr="005A4656">
        <w:rPr>
          <w:rFonts w:ascii="Times New Roman" w:hAnsi="Times New Roman" w:cs="Times New Roman"/>
          <w:sz w:val="26"/>
          <w:szCs w:val="26"/>
        </w:rPr>
        <w:t xml:space="preserve"> ermeneutici</w:t>
      </w:r>
      <w:r w:rsidR="0003695F" w:rsidRPr="005A4656">
        <w:rPr>
          <w:rFonts w:ascii="Times New Roman" w:hAnsi="Times New Roman" w:cs="Times New Roman"/>
          <w:sz w:val="26"/>
          <w:szCs w:val="26"/>
        </w:rPr>
        <w:t xml:space="preserve">: </w:t>
      </w:r>
      <w:r w:rsidR="00D15911">
        <w:rPr>
          <w:rFonts w:ascii="Times New Roman" w:hAnsi="Times New Roman" w:cs="Times New Roman"/>
          <w:sz w:val="26"/>
          <w:szCs w:val="26"/>
        </w:rPr>
        <w:t xml:space="preserve">esegesi </w:t>
      </w:r>
      <w:r w:rsidR="0003695F" w:rsidRPr="005A4656">
        <w:rPr>
          <w:rFonts w:ascii="Times New Roman" w:hAnsi="Times New Roman" w:cs="Times New Roman"/>
          <w:sz w:val="26"/>
          <w:szCs w:val="26"/>
        </w:rPr>
        <w:t>grammaticale, logica, sistematica, estensiva, storico-evolutiva, teleologica, tutt</w:t>
      </w:r>
      <w:r w:rsidRPr="005A4656">
        <w:rPr>
          <w:rFonts w:ascii="Times New Roman" w:hAnsi="Times New Roman" w:cs="Times New Roman"/>
          <w:sz w:val="26"/>
          <w:szCs w:val="26"/>
        </w:rPr>
        <w:t>i</w:t>
      </w:r>
      <w:r w:rsidR="0003695F" w:rsidRPr="005A4656">
        <w:rPr>
          <w:rFonts w:ascii="Times New Roman" w:hAnsi="Times New Roman" w:cs="Times New Roman"/>
          <w:sz w:val="26"/>
          <w:szCs w:val="26"/>
        </w:rPr>
        <w:t xml:space="preserve"> </w:t>
      </w:r>
      <w:r w:rsidRPr="005A4656">
        <w:rPr>
          <w:rFonts w:ascii="Times New Roman" w:hAnsi="Times New Roman" w:cs="Times New Roman"/>
          <w:sz w:val="26"/>
          <w:szCs w:val="26"/>
        </w:rPr>
        <w:t>ispirati “</w:t>
      </w:r>
      <w:r w:rsidR="0003695F" w:rsidRPr="005A4656">
        <w:rPr>
          <w:rFonts w:ascii="Times New Roman" w:hAnsi="Times New Roman" w:cs="Times New Roman"/>
          <w:i/>
          <w:sz w:val="26"/>
          <w:szCs w:val="26"/>
        </w:rPr>
        <w:t>allo sforzo di sfuggire al mero dettato della legge e al tentativo di attualizzarlo, d’inserirlo, cioè, nel vivo contesto dei suoi interessi attuali o addirittura di negare la possibilità di questo inserimento denunciando il sorgere di una lacuna</w:t>
      </w:r>
      <w:r w:rsidRPr="005A4656">
        <w:rPr>
          <w:rFonts w:ascii="Times New Roman" w:hAnsi="Times New Roman" w:cs="Times New Roman"/>
          <w:i/>
          <w:sz w:val="26"/>
          <w:szCs w:val="26"/>
        </w:rPr>
        <w:t>”</w:t>
      </w:r>
      <w:r w:rsidR="0003695F" w:rsidRPr="005A4656">
        <w:rPr>
          <w:rFonts w:ascii="Times New Roman" w:hAnsi="Times New Roman" w:cs="Times New Roman"/>
          <w:sz w:val="26"/>
          <w:szCs w:val="26"/>
        </w:rPr>
        <w:t xml:space="preserve"> (così </w:t>
      </w:r>
      <w:proofErr w:type="spellStart"/>
      <w:r w:rsidR="0003695F" w:rsidRPr="005A4656">
        <w:rPr>
          <w:rFonts w:ascii="Times New Roman" w:hAnsi="Times New Roman" w:cs="Times New Roman"/>
          <w:sz w:val="26"/>
          <w:szCs w:val="26"/>
        </w:rPr>
        <w:t>Paresce</w:t>
      </w:r>
      <w:proofErr w:type="spellEnd"/>
      <w:r w:rsidR="0003695F" w:rsidRPr="005A4656">
        <w:rPr>
          <w:rFonts w:ascii="Times New Roman" w:hAnsi="Times New Roman" w:cs="Times New Roman"/>
          <w:sz w:val="26"/>
          <w:szCs w:val="26"/>
        </w:rPr>
        <w:t xml:space="preserve">, </w:t>
      </w:r>
      <w:r w:rsidR="0003695F" w:rsidRPr="005A4656">
        <w:rPr>
          <w:rFonts w:ascii="Times New Roman" w:hAnsi="Times New Roman" w:cs="Times New Roman"/>
          <w:i/>
          <w:sz w:val="26"/>
          <w:szCs w:val="26"/>
        </w:rPr>
        <w:t>Interpretazione (filosofia)</w:t>
      </w:r>
      <w:r w:rsidR="0003695F" w:rsidRPr="005A4656">
        <w:rPr>
          <w:rFonts w:ascii="Times New Roman" w:hAnsi="Times New Roman" w:cs="Times New Roman"/>
          <w:sz w:val="26"/>
          <w:szCs w:val="26"/>
        </w:rPr>
        <w:t xml:space="preserve">, voce in </w:t>
      </w:r>
      <w:proofErr w:type="spellStart"/>
      <w:r w:rsidR="0003695F" w:rsidRPr="005A4656">
        <w:rPr>
          <w:rFonts w:ascii="Times New Roman" w:hAnsi="Times New Roman" w:cs="Times New Roman"/>
          <w:i/>
          <w:sz w:val="26"/>
          <w:szCs w:val="26"/>
        </w:rPr>
        <w:t>Enc</w:t>
      </w:r>
      <w:proofErr w:type="spellEnd"/>
      <w:r w:rsidR="0003695F" w:rsidRPr="005A4656">
        <w:rPr>
          <w:rFonts w:ascii="Times New Roman" w:hAnsi="Times New Roman" w:cs="Times New Roman"/>
          <w:i/>
          <w:sz w:val="26"/>
          <w:szCs w:val="26"/>
        </w:rPr>
        <w:t>. Dir</w:t>
      </w:r>
      <w:r w:rsidR="0003695F" w:rsidRPr="005A4656">
        <w:rPr>
          <w:rFonts w:ascii="Times New Roman" w:hAnsi="Times New Roman" w:cs="Times New Roman"/>
          <w:sz w:val="26"/>
          <w:szCs w:val="26"/>
        </w:rPr>
        <w:t xml:space="preserve">., </w:t>
      </w:r>
      <w:r w:rsidRPr="005A4656">
        <w:rPr>
          <w:rFonts w:ascii="Times New Roman" w:hAnsi="Times New Roman" w:cs="Times New Roman"/>
          <w:sz w:val="26"/>
          <w:szCs w:val="26"/>
        </w:rPr>
        <w:t xml:space="preserve">XXII, </w:t>
      </w:r>
      <w:r w:rsidR="0003695F" w:rsidRPr="005A4656">
        <w:rPr>
          <w:rFonts w:ascii="Times New Roman" w:hAnsi="Times New Roman" w:cs="Times New Roman"/>
          <w:sz w:val="26"/>
          <w:szCs w:val="26"/>
        </w:rPr>
        <w:t xml:space="preserve">Milano, 1972, 224). </w:t>
      </w:r>
      <w:r w:rsidR="00DB3E91" w:rsidRPr="005A4656">
        <w:rPr>
          <w:rFonts w:ascii="Times New Roman" w:hAnsi="Times New Roman" w:cs="Times New Roman"/>
          <w:sz w:val="26"/>
          <w:szCs w:val="26"/>
        </w:rPr>
        <w:t>In proposito, non può non richiamarsi l’insegnamento</w:t>
      </w:r>
      <w:r w:rsidR="0003695F" w:rsidRPr="005A4656">
        <w:rPr>
          <w:rFonts w:ascii="Times New Roman" w:hAnsi="Times New Roman" w:cs="Times New Roman"/>
          <w:sz w:val="26"/>
          <w:szCs w:val="26"/>
        </w:rPr>
        <w:t>,</w:t>
      </w:r>
      <w:r w:rsidR="00DB3E91" w:rsidRPr="005A4656">
        <w:rPr>
          <w:rFonts w:ascii="Times New Roman" w:hAnsi="Times New Roman" w:cs="Times New Roman"/>
          <w:sz w:val="26"/>
          <w:szCs w:val="26"/>
        </w:rPr>
        <w:t xml:space="preserve"> secondo cui “</w:t>
      </w:r>
      <w:r w:rsidR="00DB3E91" w:rsidRPr="005A4656">
        <w:rPr>
          <w:rFonts w:ascii="Times New Roman" w:hAnsi="Times New Roman" w:cs="Times New Roman"/>
          <w:i/>
          <w:sz w:val="26"/>
          <w:szCs w:val="26"/>
        </w:rPr>
        <w:t>l’interpretazione del diritto è operazione difficile e complessa, che costituisce oggetto di una sottile dottrina e di una delicatissima arte, nonché di apposite regole anch’esse giuridiche che taluni ordinamenti hanno creduto opportuno stabilire a guida dell’interprete, specialmente per i casi in cui le norme che egli deve interpretare sono ambigue o inadeguate o, per essere espresse, rimangono latenti nella massa più o meno opaca dell’intero ordinamento al quale appartengono</w:t>
      </w:r>
      <w:r w:rsidR="00DB3E91" w:rsidRPr="005A4656">
        <w:rPr>
          <w:rFonts w:ascii="Times New Roman" w:hAnsi="Times New Roman" w:cs="Times New Roman"/>
          <w:sz w:val="26"/>
          <w:szCs w:val="26"/>
        </w:rPr>
        <w:t>” (Sant</w:t>
      </w:r>
      <w:r w:rsidR="00773FF2" w:rsidRPr="005A4656">
        <w:rPr>
          <w:rFonts w:ascii="Times New Roman" w:hAnsi="Times New Roman" w:cs="Times New Roman"/>
          <w:sz w:val="26"/>
          <w:szCs w:val="26"/>
        </w:rPr>
        <w:t>i</w:t>
      </w:r>
      <w:r w:rsidR="00DB3E91" w:rsidRPr="005A4656">
        <w:rPr>
          <w:rFonts w:ascii="Times New Roman" w:hAnsi="Times New Roman" w:cs="Times New Roman"/>
          <w:sz w:val="26"/>
          <w:szCs w:val="26"/>
        </w:rPr>
        <w:t xml:space="preserve"> Romano, </w:t>
      </w:r>
      <w:r w:rsidR="00DB3E91" w:rsidRPr="005A4656">
        <w:rPr>
          <w:rFonts w:ascii="Times New Roman" w:hAnsi="Times New Roman" w:cs="Times New Roman"/>
          <w:i/>
          <w:sz w:val="26"/>
          <w:szCs w:val="26"/>
        </w:rPr>
        <w:t>Frammenti di un dizionario giuridico</w:t>
      </w:r>
      <w:r w:rsidR="00DB3E91" w:rsidRPr="005A4656">
        <w:rPr>
          <w:rFonts w:ascii="Times New Roman" w:hAnsi="Times New Roman" w:cs="Times New Roman"/>
          <w:sz w:val="26"/>
          <w:szCs w:val="26"/>
        </w:rPr>
        <w:t xml:space="preserve">, Milano, 1947, 121). </w:t>
      </w:r>
    </w:p>
    <w:p w:rsidR="00AA35D5" w:rsidRPr="005A4656" w:rsidRDefault="00DB3E91"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Ma quando è opportuna l’</w:t>
      </w:r>
      <w:r w:rsidR="004E35DA" w:rsidRPr="005A4656">
        <w:rPr>
          <w:rFonts w:ascii="Times New Roman" w:hAnsi="Times New Roman" w:cs="Times New Roman"/>
          <w:sz w:val="26"/>
          <w:szCs w:val="26"/>
        </w:rPr>
        <w:t>opzione dell’</w:t>
      </w:r>
      <w:r w:rsidRPr="005A4656">
        <w:rPr>
          <w:rFonts w:ascii="Times New Roman" w:hAnsi="Times New Roman" w:cs="Times New Roman"/>
          <w:sz w:val="26"/>
          <w:szCs w:val="26"/>
        </w:rPr>
        <w:t xml:space="preserve">interpretazione logico </w:t>
      </w:r>
      <w:r w:rsidR="0003695F" w:rsidRPr="005A4656">
        <w:rPr>
          <w:rFonts w:ascii="Times New Roman" w:hAnsi="Times New Roman" w:cs="Times New Roman"/>
          <w:sz w:val="26"/>
          <w:szCs w:val="26"/>
        </w:rPr>
        <w:t xml:space="preserve">- </w:t>
      </w:r>
      <w:r w:rsidRPr="005A4656">
        <w:rPr>
          <w:rFonts w:ascii="Times New Roman" w:hAnsi="Times New Roman" w:cs="Times New Roman"/>
          <w:sz w:val="26"/>
          <w:szCs w:val="26"/>
        </w:rPr>
        <w:t>sistematica o</w:t>
      </w:r>
      <w:r w:rsidR="004E35DA" w:rsidRPr="005A4656">
        <w:rPr>
          <w:rFonts w:ascii="Times New Roman" w:hAnsi="Times New Roman" w:cs="Times New Roman"/>
          <w:sz w:val="26"/>
          <w:szCs w:val="26"/>
        </w:rPr>
        <w:t xml:space="preserve"> di</w:t>
      </w:r>
      <w:r w:rsidRPr="005A4656">
        <w:rPr>
          <w:rFonts w:ascii="Times New Roman" w:hAnsi="Times New Roman" w:cs="Times New Roman"/>
          <w:sz w:val="26"/>
          <w:szCs w:val="26"/>
        </w:rPr>
        <w:t xml:space="preserve"> </w:t>
      </w:r>
      <w:r w:rsidR="004E35DA" w:rsidRPr="005A4656">
        <w:rPr>
          <w:rFonts w:ascii="Times New Roman" w:hAnsi="Times New Roman" w:cs="Times New Roman"/>
          <w:sz w:val="26"/>
          <w:szCs w:val="26"/>
        </w:rPr>
        <w:t xml:space="preserve">quella </w:t>
      </w:r>
      <w:r w:rsidRPr="005A4656">
        <w:rPr>
          <w:rFonts w:ascii="Times New Roman" w:hAnsi="Times New Roman" w:cs="Times New Roman"/>
          <w:sz w:val="26"/>
          <w:szCs w:val="26"/>
        </w:rPr>
        <w:t>evolutiva</w:t>
      </w:r>
      <w:r w:rsidR="00D15911">
        <w:rPr>
          <w:rFonts w:ascii="Times New Roman" w:hAnsi="Times New Roman" w:cs="Times New Roman"/>
          <w:sz w:val="26"/>
          <w:szCs w:val="26"/>
        </w:rPr>
        <w:t xml:space="preserve"> in luogo di quella letterale</w:t>
      </w:r>
      <w:r w:rsidRPr="005A4656">
        <w:rPr>
          <w:rFonts w:ascii="Times New Roman" w:hAnsi="Times New Roman" w:cs="Times New Roman"/>
          <w:sz w:val="26"/>
          <w:szCs w:val="26"/>
        </w:rPr>
        <w:t xml:space="preserve">? </w:t>
      </w:r>
      <w:r w:rsidR="00773FF2" w:rsidRPr="005A4656">
        <w:rPr>
          <w:rFonts w:ascii="Times New Roman" w:hAnsi="Times New Roman" w:cs="Times New Roman"/>
          <w:sz w:val="26"/>
          <w:szCs w:val="26"/>
        </w:rPr>
        <w:t>Si risponde: q</w:t>
      </w:r>
      <w:r w:rsidRPr="005A4656">
        <w:rPr>
          <w:rFonts w:ascii="Times New Roman" w:hAnsi="Times New Roman" w:cs="Times New Roman"/>
          <w:sz w:val="26"/>
          <w:szCs w:val="26"/>
        </w:rPr>
        <w:t>uando la norma non ha alcun senso o concreta applicazione se presa</w:t>
      </w:r>
      <w:r w:rsidR="00614164" w:rsidRPr="005A4656">
        <w:rPr>
          <w:rFonts w:ascii="Times New Roman" w:hAnsi="Times New Roman" w:cs="Times New Roman"/>
          <w:sz w:val="26"/>
          <w:szCs w:val="26"/>
        </w:rPr>
        <w:t xml:space="preserve"> </w:t>
      </w:r>
      <w:r w:rsidR="00D15911">
        <w:rPr>
          <w:rFonts w:ascii="Times New Roman" w:hAnsi="Times New Roman" w:cs="Times New Roman"/>
          <w:sz w:val="26"/>
          <w:szCs w:val="26"/>
        </w:rPr>
        <w:t xml:space="preserve">in assoluto </w:t>
      </w:r>
      <w:r w:rsidR="00614164" w:rsidRPr="005A4656">
        <w:rPr>
          <w:rFonts w:ascii="Times New Roman" w:hAnsi="Times New Roman" w:cs="Times New Roman"/>
          <w:sz w:val="26"/>
          <w:szCs w:val="26"/>
        </w:rPr>
        <w:t>quale monade,</w:t>
      </w:r>
      <w:r w:rsidRPr="005A4656">
        <w:rPr>
          <w:rFonts w:ascii="Times New Roman" w:hAnsi="Times New Roman" w:cs="Times New Roman"/>
          <w:sz w:val="26"/>
          <w:szCs w:val="26"/>
        </w:rPr>
        <w:t xml:space="preserve"> </w:t>
      </w:r>
      <w:r w:rsidR="00614164" w:rsidRPr="005A4656">
        <w:rPr>
          <w:rFonts w:ascii="Times New Roman" w:hAnsi="Times New Roman" w:cs="Times New Roman"/>
          <w:i/>
          <w:sz w:val="26"/>
          <w:szCs w:val="26"/>
        </w:rPr>
        <w:t>ex se</w:t>
      </w:r>
      <w:r w:rsidRPr="005A4656">
        <w:rPr>
          <w:rFonts w:ascii="Times New Roman" w:hAnsi="Times New Roman" w:cs="Times New Roman"/>
          <w:sz w:val="26"/>
          <w:szCs w:val="26"/>
        </w:rPr>
        <w:t>, oppure allorquando è stata emanata molto tempo addietro e, se incastonata nel</w:t>
      </w:r>
      <w:r w:rsidR="00773FF2" w:rsidRPr="005A4656">
        <w:rPr>
          <w:rFonts w:ascii="Times New Roman" w:hAnsi="Times New Roman" w:cs="Times New Roman"/>
          <w:sz w:val="26"/>
          <w:szCs w:val="26"/>
        </w:rPr>
        <w:t xml:space="preserve"> vigente </w:t>
      </w:r>
      <w:r w:rsidRPr="005A4656">
        <w:rPr>
          <w:rFonts w:ascii="Times New Roman" w:hAnsi="Times New Roman" w:cs="Times New Roman"/>
          <w:sz w:val="26"/>
          <w:szCs w:val="26"/>
        </w:rPr>
        <w:t>ordinamento giuridico, può avere un determinato valore</w:t>
      </w:r>
      <w:r w:rsidR="00773FF2" w:rsidRPr="005A4656">
        <w:rPr>
          <w:rFonts w:ascii="Times New Roman" w:hAnsi="Times New Roman" w:cs="Times New Roman"/>
          <w:sz w:val="26"/>
          <w:szCs w:val="26"/>
        </w:rPr>
        <w:t xml:space="preserve"> ed esprimere</w:t>
      </w:r>
      <w:r w:rsidR="00D15911">
        <w:rPr>
          <w:rFonts w:ascii="Times New Roman" w:hAnsi="Times New Roman" w:cs="Times New Roman"/>
          <w:sz w:val="26"/>
          <w:szCs w:val="26"/>
        </w:rPr>
        <w:t>, solo</w:t>
      </w:r>
      <w:r w:rsidR="00773FF2" w:rsidRPr="005A4656">
        <w:rPr>
          <w:rFonts w:ascii="Times New Roman" w:hAnsi="Times New Roman" w:cs="Times New Roman"/>
          <w:sz w:val="26"/>
          <w:szCs w:val="26"/>
        </w:rPr>
        <w:t xml:space="preserve"> con tale attività ermeneutica</w:t>
      </w:r>
      <w:r w:rsidR="00D15911">
        <w:rPr>
          <w:rFonts w:ascii="Times New Roman" w:hAnsi="Times New Roman" w:cs="Times New Roman"/>
          <w:sz w:val="26"/>
          <w:szCs w:val="26"/>
        </w:rPr>
        <w:t>,</w:t>
      </w:r>
      <w:r w:rsidR="00773FF2" w:rsidRPr="005A4656">
        <w:rPr>
          <w:rFonts w:ascii="Times New Roman" w:hAnsi="Times New Roman" w:cs="Times New Roman"/>
          <w:sz w:val="26"/>
          <w:szCs w:val="26"/>
        </w:rPr>
        <w:t xml:space="preserve"> un </w:t>
      </w:r>
      <w:r w:rsidR="00773FF2" w:rsidRPr="005A4656">
        <w:rPr>
          <w:rFonts w:ascii="Times New Roman" w:hAnsi="Times New Roman" w:cs="Times New Roman"/>
          <w:sz w:val="26"/>
          <w:szCs w:val="26"/>
        </w:rPr>
        <w:lastRenderedPageBreak/>
        <w:t>certo significato</w:t>
      </w:r>
      <w:r w:rsidRPr="005A4656">
        <w:rPr>
          <w:rFonts w:ascii="Times New Roman" w:hAnsi="Times New Roman" w:cs="Times New Roman"/>
          <w:sz w:val="26"/>
          <w:szCs w:val="26"/>
        </w:rPr>
        <w:t xml:space="preserve">. </w:t>
      </w:r>
      <w:r w:rsidR="00773FF2" w:rsidRPr="005A4656">
        <w:rPr>
          <w:rFonts w:ascii="Times New Roman" w:hAnsi="Times New Roman" w:cs="Times New Roman"/>
          <w:sz w:val="26"/>
          <w:szCs w:val="26"/>
        </w:rPr>
        <w:t>Per q</w:t>
      </w:r>
      <w:r w:rsidRPr="005A4656">
        <w:rPr>
          <w:rFonts w:ascii="Times New Roman" w:hAnsi="Times New Roman" w:cs="Times New Roman"/>
          <w:sz w:val="26"/>
          <w:szCs w:val="26"/>
        </w:rPr>
        <w:t xml:space="preserve">uesta ragione la dottrina sopra richiamata preferisce </w:t>
      </w:r>
      <w:r w:rsidR="00614164" w:rsidRPr="005A4656">
        <w:rPr>
          <w:rFonts w:ascii="Times New Roman" w:hAnsi="Times New Roman" w:cs="Times New Roman"/>
          <w:sz w:val="26"/>
          <w:szCs w:val="26"/>
        </w:rPr>
        <w:t>escludere ogni riferimento all’</w:t>
      </w:r>
      <w:r w:rsidRPr="005A4656">
        <w:rPr>
          <w:rFonts w:ascii="Times New Roman" w:hAnsi="Times New Roman" w:cs="Times New Roman"/>
          <w:sz w:val="26"/>
          <w:szCs w:val="26"/>
        </w:rPr>
        <w:t xml:space="preserve">interpretazione evolutiva della norma, ma </w:t>
      </w:r>
      <w:r w:rsidR="00614164" w:rsidRPr="005A4656">
        <w:rPr>
          <w:rFonts w:ascii="Times New Roman" w:hAnsi="Times New Roman" w:cs="Times New Roman"/>
          <w:sz w:val="26"/>
          <w:szCs w:val="26"/>
        </w:rPr>
        <w:t xml:space="preserve">preferisce parlare </w:t>
      </w:r>
      <w:r w:rsidRPr="005A4656">
        <w:rPr>
          <w:rFonts w:ascii="Times New Roman" w:hAnsi="Times New Roman" w:cs="Times New Roman"/>
          <w:sz w:val="26"/>
          <w:szCs w:val="26"/>
        </w:rPr>
        <w:t xml:space="preserve">di evoluzione dell’ordinamento giuridico (Santi Romano, </w:t>
      </w:r>
      <w:r w:rsidRPr="005A4656">
        <w:rPr>
          <w:rFonts w:ascii="Times New Roman" w:hAnsi="Times New Roman" w:cs="Times New Roman"/>
          <w:i/>
          <w:sz w:val="26"/>
          <w:szCs w:val="26"/>
        </w:rPr>
        <w:t>op. cit</w:t>
      </w:r>
      <w:r w:rsidRPr="005A4656">
        <w:rPr>
          <w:rFonts w:ascii="Times New Roman" w:hAnsi="Times New Roman" w:cs="Times New Roman"/>
          <w:sz w:val="26"/>
          <w:szCs w:val="26"/>
        </w:rPr>
        <w:t>., 125). L’interpretazione non può essere evolutiva senza trasformarsi in qualche cosa di assolutamente diverso</w:t>
      </w:r>
      <w:r w:rsidR="00AA35D5" w:rsidRPr="005A4656">
        <w:rPr>
          <w:rFonts w:ascii="Times New Roman" w:hAnsi="Times New Roman" w:cs="Times New Roman"/>
          <w:sz w:val="26"/>
          <w:szCs w:val="26"/>
        </w:rPr>
        <w:t xml:space="preserve"> (Id, </w:t>
      </w:r>
      <w:r w:rsidR="00AA35D5" w:rsidRPr="005A4656">
        <w:rPr>
          <w:rFonts w:ascii="Times New Roman" w:hAnsi="Times New Roman" w:cs="Times New Roman"/>
          <w:i/>
          <w:sz w:val="26"/>
          <w:szCs w:val="26"/>
        </w:rPr>
        <w:t>op. cit.</w:t>
      </w:r>
      <w:r w:rsidR="00773FF2" w:rsidRPr="005A4656">
        <w:rPr>
          <w:rFonts w:ascii="Times New Roman" w:hAnsi="Times New Roman" w:cs="Times New Roman"/>
          <w:i/>
          <w:sz w:val="26"/>
          <w:szCs w:val="26"/>
        </w:rPr>
        <w:t>,</w:t>
      </w:r>
      <w:r w:rsidR="00AA35D5" w:rsidRPr="005A4656">
        <w:rPr>
          <w:rFonts w:ascii="Times New Roman" w:hAnsi="Times New Roman" w:cs="Times New Roman"/>
          <w:sz w:val="26"/>
          <w:szCs w:val="26"/>
        </w:rPr>
        <w:t xml:space="preserve"> 123). </w:t>
      </w:r>
    </w:p>
    <w:p w:rsidR="00D15911" w:rsidRDefault="00AA35D5"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Anche se non si vole</w:t>
      </w:r>
      <w:r w:rsidR="00614164" w:rsidRPr="005A4656">
        <w:rPr>
          <w:rFonts w:ascii="Times New Roman" w:hAnsi="Times New Roman" w:cs="Times New Roman"/>
          <w:sz w:val="26"/>
          <w:szCs w:val="26"/>
        </w:rPr>
        <w:t>sse</w:t>
      </w:r>
      <w:r w:rsidRPr="005A4656">
        <w:rPr>
          <w:rFonts w:ascii="Times New Roman" w:hAnsi="Times New Roman" w:cs="Times New Roman"/>
          <w:sz w:val="26"/>
          <w:szCs w:val="26"/>
        </w:rPr>
        <w:t xml:space="preserve"> aderire a tale corrente di pensiero, il vero problema della interpretazione diversa da quella letterale consiste nella constatazione della “</w:t>
      </w:r>
      <w:r w:rsidRPr="005A4656">
        <w:rPr>
          <w:rFonts w:ascii="Times New Roman" w:hAnsi="Times New Roman" w:cs="Times New Roman"/>
          <w:i/>
          <w:sz w:val="26"/>
          <w:szCs w:val="26"/>
        </w:rPr>
        <w:t xml:space="preserve">insufficienza della formola legislativa e inammissibilità di un suo isolamento dalla totalità dell’ordinamento giuridico </w:t>
      </w:r>
      <w:r w:rsidR="00773FF2" w:rsidRPr="005A4656">
        <w:rPr>
          <w:rFonts w:ascii="Times New Roman" w:hAnsi="Times New Roman" w:cs="Times New Roman"/>
          <w:i/>
          <w:sz w:val="26"/>
          <w:szCs w:val="26"/>
        </w:rPr>
        <w:t>e</w:t>
      </w:r>
      <w:r w:rsidRPr="005A4656">
        <w:rPr>
          <w:rFonts w:ascii="Times New Roman" w:hAnsi="Times New Roman" w:cs="Times New Roman"/>
          <w:i/>
          <w:sz w:val="26"/>
          <w:szCs w:val="26"/>
        </w:rPr>
        <w:t xml:space="preserve"> dalla evoluzione storica di questo</w:t>
      </w:r>
      <w:r w:rsidRPr="005A4656">
        <w:rPr>
          <w:rFonts w:ascii="Times New Roman" w:hAnsi="Times New Roman" w:cs="Times New Roman"/>
          <w:sz w:val="26"/>
          <w:szCs w:val="26"/>
        </w:rPr>
        <w:t xml:space="preserve">” (Betti, </w:t>
      </w:r>
      <w:r w:rsidRPr="005A4656">
        <w:rPr>
          <w:rFonts w:ascii="Times New Roman" w:hAnsi="Times New Roman" w:cs="Times New Roman"/>
          <w:i/>
          <w:sz w:val="26"/>
          <w:szCs w:val="26"/>
        </w:rPr>
        <w:t>Interpretazione della legge e degli atti giuridici. Teoria generale e dogmatica</w:t>
      </w:r>
      <w:r w:rsidRPr="005A4656">
        <w:rPr>
          <w:rFonts w:ascii="Times New Roman" w:hAnsi="Times New Roman" w:cs="Times New Roman"/>
          <w:sz w:val="26"/>
          <w:szCs w:val="26"/>
        </w:rPr>
        <w:t>, Milano, 1949, 33). E se “</w:t>
      </w:r>
      <w:r w:rsidRPr="005A4656">
        <w:rPr>
          <w:rFonts w:ascii="Times New Roman" w:hAnsi="Times New Roman" w:cs="Times New Roman"/>
          <w:i/>
          <w:sz w:val="26"/>
          <w:szCs w:val="26"/>
        </w:rPr>
        <w:t xml:space="preserve">l’ordinamento giuridico non è qualcosa di bell’e fatto (come può credere una visione statica e immobilizzante, alla </w:t>
      </w:r>
      <w:proofErr w:type="spellStart"/>
      <w:r w:rsidRPr="005A4656">
        <w:rPr>
          <w:rFonts w:ascii="Times New Roman" w:hAnsi="Times New Roman" w:cs="Times New Roman"/>
          <w:i/>
          <w:sz w:val="26"/>
          <w:szCs w:val="26"/>
        </w:rPr>
        <w:t>Kelsen</w:t>
      </w:r>
      <w:proofErr w:type="spellEnd"/>
      <w:r w:rsidRPr="005A4656">
        <w:rPr>
          <w:rFonts w:ascii="Times New Roman" w:hAnsi="Times New Roman" w:cs="Times New Roman"/>
          <w:i/>
          <w:sz w:val="26"/>
          <w:szCs w:val="26"/>
        </w:rPr>
        <w:t>), né un organismo che si sviluppi da sé per mera legge naturale: è qualcosa che non è, ma si fa, in accordo con l’ambiente sociale di storicamente condizionato, proprio per opera assidua d’interpretazione</w:t>
      </w:r>
      <w:r w:rsidRPr="005A4656">
        <w:rPr>
          <w:rFonts w:ascii="Times New Roman" w:hAnsi="Times New Roman" w:cs="Times New Roman"/>
          <w:sz w:val="26"/>
          <w:szCs w:val="26"/>
        </w:rPr>
        <w:t>”</w:t>
      </w:r>
      <w:r w:rsidR="0003695F" w:rsidRPr="005A4656">
        <w:rPr>
          <w:rFonts w:ascii="Times New Roman" w:hAnsi="Times New Roman" w:cs="Times New Roman"/>
          <w:sz w:val="26"/>
          <w:szCs w:val="26"/>
        </w:rPr>
        <w:t>,</w:t>
      </w:r>
      <w:r w:rsidRPr="005A4656">
        <w:rPr>
          <w:rFonts w:ascii="Times New Roman" w:hAnsi="Times New Roman" w:cs="Times New Roman"/>
          <w:sz w:val="26"/>
          <w:szCs w:val="26"/>
        </w:rPr>
        <w:t xml:space="preserve"> occorre interrogarsi se la formula adottata dal legislatore sia insufficiente o meno, siano riscontrabili lacune originarie, sopravvenute</w:t>
      </w:r>
      <w:r w:rsidR="00243C71" w:rsidRPr="005A4656">
        <w:rPr>
          <w:rFonts w:ascii="Times New Roman" w:hAnsi="Times New Roman" w:cs="Times New Roman"/>
          <w:sz w:val="26"/>
          <w:szCs w:val="26"/>
        </w:rPr>
        <w:t xml:space="preserve">, di valutazione, di previsione, di ambiguità, o di semplice cognizione (Betti, </w:t>
      </w:r>
      <w:r w:rsidR="00243C71" w:rsidRPr="005A4656">
        <w:rPr>
          <w:rFonts w:ascii="Times New Roman" w:hAnsi="Times New Roman" w:cs="Times New Roman"/>
          <w:i/>
          <w:sz w:val="26"/>
          <w:szCs w:val="26"/>
        </w:rPr>
        <w:t>op. cit.</w:t>
      </w:r>
      <w:r w:rsidR="00243C71" w:rsidRPr="005A4656">
        <w:rPr>
          <w:rFonts w:ascii="Times New Roman" w:hAnsi="Times New Roman" w:cs="Times New Roman"/>
          <w:sz w:val="26"/>
          <w:szCs w:val="26"/>
        </w:rPr>
        <w:t>, 45 s.);</w:t>
      </w:r>
      <w:r w:rsidRPr="005A4656">
        <w:rPr>
          <w:rFonts w:ascii="Times New Roman" w:hAnsi="Times New Roman" w:cs="Times New Roman"/>
          <w:sz w:val="26"/>
          <w:szCs w:val="26"/>
        </w:rPr>
        <w:t xml:space="preserve"> e via stato un </w:t>
      </w:r>
      <w:proofErr w:type="spellStart"/>
      <w:r w:rsidRPr="005A4656">
        <w:rPr>
          <w:rFonts w:ascii="Times New Roman" w:hAnsi="Times New Roman" w:cs="Times New Roman"/>
          <w:i/>
          <w:sz w:val="26"/>
          <w:szCs w:val="26"/>
        </w:rPr>
        <w:t>minus</w:t>
      </w:r>
      <w:proofErr w:type="spellEnd"/>
      <w:r w:rsidRPr="005A4656">
        <w:rPr>
          <w:rFonts w:ascii="Times New Roman" w:hAnsi="Times New Roman" w:cs="Times New Roman"/>
          <w:i/>
          <w:sz w:val="26"/>
          <w:szCs w:val="26"/>
        </w:rPr>
        <w:t xml:space="preserve"> dixit </w:t>
      </w:r>
      <w:proofErr w:type="spellStart"/>
      <w:r w:rsidRPr="005A4656">
        <w:rPr>
          <w:rFonts w:ascii="Times New Roman" w:hAnsi="Times New Roman" w:cs="Times New Roman"/>
          <w:i/>
          <w:sz w:val="26"/>
          <w:szCs w:val="26"/>
        </w:rPr>
        <w:t>quam</w:t>
      </w:r>
      <w:proofErr w:type="spellEnd"/>
      <w:r w:rsidRPr="005A4656">
        <w:rPr>
          <w:rFonts w:ascii="Times New Roman" w:hAnsi="Times New Roman" w:cs="Times New Roman"/>
          <w:i/>
          <w:sz w:val="26"/>
          <w:szCs w:val="26"/>
        </w:rPr>
        <w:t xml:space="preserve"> </w:t>
      </w:r>
      <w:proofErr w:type="spellStart"/>
      <w:r w:rsidRPr="005A4656">
        <w:rPr>
          <w:rFonts w:ascii="Times New Roman" w:hAnsi="Times New Roman" w:cs="Times New Roman"/>
          <w:i/>
          <w:sz w:val="26"/>
          <w:szCs w:val="26"/>
        </w:rPr>
        <w:t>voluit</w:t>
      </w:r>
      <w:proofErr w:type="spellEnd"/>
      <w:r w:rsidRPr="005A4656">
        <w:rPr>
          <w:rFonts w:ascii="Times New Roman" w:hAnsi="Times New Roman" w:cs="Times New Roman"/>
          <w:sz w:val="26"/>
          <w:szCs w:val="26"/>
        </w:rPr>
        <w:t>.</w:t>
      </w:r>
      <w:r w:rsidR="00243C71" w:rsidRPr="005A4656">
        <w:rPr>
          <w:rFonts w:ascii="Times New Roman" w:hAnsi="Times New Roman" w:cs="Times New Roman"/>
          <w:sz w:val="26"/>
          <w:szCs w:val="26"/>
        </w:rPr>
        <w:t xml:space="preserve"> </w:t>
      </w:r>
      <w:r w:rsidR="00D15911" w:rsidRPr="005A4656">
        <w:rPr>
          <w:rFonts w:ascii="Times New Roman" w:hAnsi="Times New Roman" w:cs="Times New Roman"/>
          <w:sz w:val="26"/>
          <w:szCs w:val="26"/>
        </w:rPr>
        <w:t xml:space="preserve">L’interpretazione non letterale ed estensiva sarebbe plausibile solo in considerazione dell’oggettiva problematicità delle possibili alternative esegetiche. </w:t>
      </w:r>
    </w:p>
    <w:p w:rsidR="004F57AA" w:rsidRPr="005A4656" w:rsidRDefault="00243C71"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In questi casi, il rischio</w:t>
      </w:r>
      <w:r w:rsidR="00614164" w:rsidRPr="005A4656">
        <w:rPr>
          <w:rFonts w:ascii="Times New Roman" w:hAnsi="Times New Roman" w:cs="Times New Roman"/>
          <w:sz w:val="26"/>
          <w:szCs w:val="26"/>
        </w:rPr>
        <w:t>, però,</w:t>
      </w:r>
      <w:r w:rsidRPr="005A4656">
        <w:rPr>
          <w:rFonts w:ascii="Times New Roman" w:hAnsi="Times New Roman" w:cs="Times New Roman"/>
          <w:sz w:val="26"/>
          <w:szCs w:val="26"/>
        </w:rPr>
        <w:t xml:space="preserve"> è che l’interpretazione giudiziale integrativa di norme lacunose non applichi, ma crei il diritto.</w:t>
      </w:r>
      <w:r w:rsidR="00AA35D5" w:rsidRPr="005A4656">
        <w:rPr>
          <w:rFonts w:ascii="Times New Roman" w:hAnsi="Times New Roman" w:cs="Times New Roman"/>
          <w:sz w:val="26"/>
          <w:szCs w:val="26"/>
        </w:rPr>
        <w:t xml:space="preserve"> </w:t>
      </w:r>
      <w:r w:rsidR="00D15911">
        <w:rPr>
          <w:rFonts w:ascii="Times New Roman" w:hAnsi="Times New Roman" w:cs="Times New Roman"/>
          <w:sz w:val="26"/>
          <w:szCs w:val="26"/>
        </w:rPr>
        <w:t xml:space="preserve">Ed occorre interrogarsi se l’interprete (giudice, avvocato, giurista) possa colmare la lacuna e l’ambiguità della legge, oppure non sia il caso di escluderne l’applicazione o la previsione dell’astratta fattispecie al caso concreto, ovvero ancora se non sia il caso di chiedere, nelle forme e con le modalità consentite, l’intervento della Corte costituzionale. </w:t>
      </w:r>
    </w:p>
    <w:p w:rsidR="00DB3E91" w:rsidRPr="005A4656" w:rsidRDefault="007871A8"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 xml:space="preserve">Anche la Consulta ha con grande accortezza esclusa l’interpretazione estensiva </w:t>
      </w:r>
      <w:r w:rsidR="00D15911">
        <w:rPr>
          <w:rFonts w:ascii="Times New Roman" w:hAnsi="Times New Roman" w:cs="Times New Roman"/>
          <w:sz w:val="26"/>
          <w:szCs w:val="26"/>
        </w:rPr>
        <w:t>a</w:t>
      </w:r>
      <w:r w:rsidRPr="005A4656">
        <w:rPr>
          <w:rFonts w:ascii="Times New Roman" w:hAnsi="Times New Roman" w:cs="Times New Roman"/>
          <w:sz w:val="26"/>
          <w:szCs w:val="26"/>
        </w:rPr>
        <w:t xml:space="preserve"> fattispecie non espressamente previste dalla norma di cui veniva contestata l’incostituzionalità</w:t>
      </w:r>
      <w:r w:rsidRPr="005A4656">
        <w:rPr>
          <w:rFonts w:ascii="Times New Roman" w:hAnsi="Times New Roman" w:cs="Times New Roman"/>
          <w:b/>
          <w:sz w:val="26"/>
          <w:szCs w:val="26"/>
        </w:rPr>
        <w:t xml:space="preserve"> (</w:t>
      </w:r>
      <w:r w:rsidRPr="005A4656">
        <w:rPr>
          <w:rStyle w:val="Enfasigrassetto"/>
          <w:rFonts w:ascii="Times New Roman" w:hAnsi="Times New Roman" w:cs="Times New Roman"/>
          <w:b w:val="0"/>
          <w:sz w:val="26"/>
          <w:szCs w:val="26"/>
        </w:rPr>
        <w:t>1</w:t>
      </w:r>
      <w:r w:rsidR="00614164" w:rsidRPr="005A4656">
        <w:rPr>
          <w:rStyle w:val="Enfasigrassetto"/>
          <w:rFonts w:ascii="Times New Roman" w:hAnsi="Times New Roman" w:cs="Times New Roman"/>
          <w:b w:val="0"/>
          <w:sz w:val="26"/>
          <w:szCs w:val="26"/>
        </w:rPr>
        <w:t>°</w:t>
      </w:r>
      <w:r w:rsidRPr="005A4656">
        <w:rPr>
          <w:rStyle w:val="Enfasigrassetto"/>
          <w:rFonts w:ascii="Times New Roman" w:hAnsi="Times New Roman" w:cs="Times New Roman"/>
          <w:b w:val="0"/>
          <w:sz w:val="26"/>
          <w:szCs w:val="26"/>
        </w:rPr>
        <w:t xml:space="preserve"> febbraio 1983, n. 15</w:t>
      </w:r>
      <w:r w:rsidRPr="005A4656">
        <w:rPr>
          <w:rFonts w:ascii="Times New Roman" w:hAnsi="Times New Roman" w:cs="Times New Roman"/>
          <w:sz w:val="26"/>
          <w:szCs w:val="26"/>
        </w:rPr>
        <w:t xml:space="preserve"> e</w:t>
      </w:r>
      <w:r w:rsidRPr="005A4656">
        <w:rPr>
          <w:rStyle w:val="Enfasigrassetto"/>
          <w:rFonts w:ascii="Times New Roman" w:hAnsi="Times New Roman" w:cs="Times New Roman"/>
          <w:b w:val="0"/>
          <w:sz w:val="26"/>
          <w:szCs w:val="26"/>
        </w:rPr>
        <w:t xml:space="preserve"> 14 aprile 1976, n. 86). Solo se dovesse </w:t>
      </w:r>
      <w:r w:rsidR="00614164" w:rsidRPr="005A4656">
        <w:rPr>
          <w:rStyle w:val="Enfasigrassetto"/>
          <w:rFonts w:ascii="Times New Roman" w:hAnsi="Times New Roman" w:cs="Times New Roman"/>
          <w:b w:val="0"/>
          <w:sz w:val="26"/>
          <w:szCs w:val="26"/>
        </w:rPr>
        <w:t>scaturire</w:t>
      </w:r>
      <w:r w:rsidRPr="005A4656">
        <w:rPr>
          <w:rStyle w:val="Enfasigrassetto"/>
          <w:rFonts w:ascii="Times New Roman" w:hAnsi="Times New Roman" w:cs="Times New Roman"/>
          <w:b w:val="0"/>
          <w:sz w:val="26"/>
          <w:szCs w:val="26"/>
        </w:rPr>
        <w:t xml:space="preserve"> un</w:t>
      </w:r>
      <w:r w:rsidR="0003695F" w:rsidRPr="005A4656">
        <w:rPr>
          <w:rStyle w:val="Enfasigrassetto"/>
          <w:rFonts w:ascii="Times New Roman" w:hAnsi="Times New Roman" w:cs="Times New Roman"/>
          <w:b w:val="0"/>
          <w:sz w:val="26"/>
          <w:szCs w:val="26"/>
        </w:rPr>
        <w:t>’</w:t>
      </w:r>
      <w:r w:rsidRPr="005A4656">
        <w:rPr>
          <w:rStyle w:val="Enfasigrassetto"/>
          <w:rFonts w:ascii="Times New Roman" w:hAnsi="Times New Roman" w:cs="Times New Roman"/>
          <w:b w:val="0"/>
          <w:sz w:val="26"/>
          <w:szCs w:val="26"/>
        </w:rPr>
        <w:t xml:space="preserve">impossibile applicazione della norma si potrebbe </w:t>
      </w:r>
      <w:r w:rsidR="00C80B19" w:rsidRPr="005A4656">
        <w:rPr>
          <w:rStyle w:val="Enfasigrassetto"/>
          <w:rFonts w:ascii="Times New Roman" w:hAnsi="Times New Roman" w:cs="Times New Roman"/>
          <w:b w:val="0"/>
          <w:sz w:val="26"/>
          <w:szCs w:val="26"/>
        </w:rPr>
        <w:t>dar luogo ad un</w:t>
      </w:r>
      <w:r w:rsidR="0003695F" w:rsidRPr="005A4656">
        <w:rPr>
          <w:rStyle w:val="Enfasigrassetto"/>
          <w:rFonts w:ascii="Times New Roman" w:hAnsi="Times New Roman" w:cs="Times New Roman"/>
          <w:b w:val="0"/>
          <w:sz w:val="26"/>
          <w:szCs w:val="26"/>
        </w:rPr>
        <w:t>’</w:t>
      </w:r>
      <w:r w:rsidR="00C80B19" w:rsidRPr="005A4656">
        <w:rPr>
          <w:rStyle w:val="Enfasigrassetto"/>
          <w:rFonts w:ascii="Times New Roman" w:hAnsi="Times New Roman" w:cs="Times New Roman"/>
          <w:b w:val="0"/>
          <w:sz w:val="26"/>
          <w:szCs w:val="26"/>
        </w:rPr>
        <w:t xml:space="preserve">interpretazione costituzionalmente orientata, sicché, </w:t>
      </w:r>
      <w:r w:rsidR="00C80B19" w:rsidRPr="005A4656">
        <w:rPr>
          <w:rFonts w:ascii="Times New Roman" w:hAnsi="Times New Roman" w:cs="Times New Roman"/>
          <w:sz w:val="26"/>
          <w:szCs w:val="26"/>
        </w:rPr>
        <w:t>di</w:t>
      </w:r>
      <w:r w:rsidRPr="005A4656">
        <w:rPr>
          <w:rFonts w:ascii="Times New Roman" w:hAnsi="Times New Roman" w:cs="Times New Roman"/>
          <w:sz w:val="26"/>
          <w:szCs w:val="26"/>
        </w:rPr>
        <w:t>versamente opinando</w:t>
      </w:r>
      <w:r w:rsidR="00C80B19" w:rsidRPr="005A4656">
        <w:rPr>
          <w:rFonts w:ascii="Times New Roman" w:hAnsi="Times New Roman" w:cs="Times New Roman"/>
          <w:sz w:val="26"/>
          <w:szCs w:val="26"/>
        </w:rPr>
        <w:t>,</w:t>
      </w:r>
      <w:r w:rsidRPr="005A4656">
        <w:rPr>
          <w:rFonts w:ascii="Times New Roman" w:hAnsi="Times New Roman" w:cs="Times New Roman"/>
          <w:sz w:val="26"/>
          <w:szCs w:val="26"/>
        </w:rPr>
        <w:t xml:space="preserve"> la </w:t>
      </w:r>
      <w:r w:rsidRPr="005A4656">
        <w:rPr>
          <w:rFonts w:ascii="Times New Roman" w:hAnsi="Times New Roman" w:cs="Times New Roman"/>
          <w:sz w:val="26"/>
          <w:szCs w:val="26"/>
        </w:rPr>
        <w:lastRenderedPageBreak/>
        <w:t>disposizione non si potrebbe sottrarre a rilevanti dubbi di legittimità costituzionale sotto il profilo della sua intrinseca ragionevolezza</w:t>
      </w:r>
      <w:r w:rsidR="00C80B19" w:rsidRPr="005A4656">
        <w:rPr>
          <w:rFonts w:ascii="Times New Roman" w:hAnsi="Times New Roman" w:cs="Times New Roman"/>
          <w:sz w:val="26"/>
          <w:szCs w:val="26"/>
        </w:rPr>
        <w:t xml:space="preserve"> (Cass., 17 luglio 2015, n. 15070). </w:t>
      </w:r>
      <w:r w:rsidR="004F57AA" w:rsidRPr="005A4656">
        <w:rPr>
          <w:rFonts w:ascii="Times New Roman" w:hAnsi="Times New Roman" w:cs="Times New Roman"/>
          <w:sz w:val="26"/>
          <w:szCs w:val="26"/>
        </w:rPr>
        <w:t xml:space="preserve">L’estensione del dato normativo sarebbe consentita proprio allo scopo di evitare questioni di legittimità costituzionale laddove esso limita la disposizione ad alcune categorie di soggetti, </w:t>
      </w:r>
      <w:r w:rsidR="00614164" w:rsidRPr="005A4656">
        <w:rPr>
          <w:rFonts w:ascii="Times New Roman" w:hAnsi="Times New Roman" w:cs="Times New Roman"/>
          <w:sz w:val="26"/>
          <w:szCs w:val="26"/>
        </w:rPr>
        <w:t xml:space="preserve">di tal che </w:t>
      </w:r>
      <w:r w:rsidR="004F57AA" w:rsidRPr="005A4656">
        <w:rPr>
          <w:rFonts w:ascii="Times New Roman" w:hAnsi="Times New Roman" w:cs="Times New Roman"/>
          <w:sz w:val="26"/>
          <w:szCs w:val="26"/>
        </w:rPr>
        <w:t xml:space="preserve">si potrebbe avere un’interpretazione </w:t>
      </w:r>
      <w:proofErr w:type="spellStart"/>
      <w:r w:rsidR="004F57AA" w:rsidRPr="005A4656">
        <w:rPr>
          <w:rFonts w:ascii="Times New Roman" w:hAnsi="Times New Roman" w:cs="Times New Roman"/>
          <w:sz w:val="26"/>
          <w:szCs w:val="26"/>
        </w:rPr>
        <w:t>adeguatrice</w:t>
      </w:r>
      <w:proofErr w:type="spellEnd"/>
      <w:r w:rsidR="004F57AA" w:rsidRPr="005A4656">
        <w:rPr>
          <w:rFonts w:ascii="Times New Roman" w:hAnsi="Times New Roman" w:cs="Times New Roman"/>
          <w:sz w:val="26"/>
          <w:szCs w:val="26"/>
        </w:rPr>
        <w:t xml:space="preserve"> e conforme alla Costituzione; ancorché non sfugga di certo che sarebbe opportuna la rimessione degli atti alla Consulta in presenza di una norma di tal genere (è quanto si evince dalla lettura di Cons. Stato, III Sez., 3 gennaio 2014, n. 1).</w:t>
      </w:r>
      <w:r w:rsidRPr="005A4656">
        <w:rPr>
          <w:rStyle w:val="Enfasigrassetto"/>
          <w:rFonts w:ascii="Times New Roman" w:hAnsi="Times New Roman" w:cs="Times New Roman"/>
          <w:sz w:val="26"/>
          <w:szCs w:val="26"/>
        </w:rPr>
        <w:t> </w:t>
      </w:r>
      <w:r w:rsidR="00AA35D5" w:rsidRPr="005A4656">
        <w:rPr>
          <w:rFonts w:ascii="Times New Roman" w:hAnsi="Times New Roman" w:cs="Times New Roman"/>
          <w:sz w:val="26"/>
          <w:szCs w:val="26"/>
        </w:rPr>
        <w:t xml:space="preserve">    </w:t>
      </w:r>
      <w:r w:rsidR="00DB3E91" w:rsidRPr="005A4656">
        <w:rPr>
          <w:rFonts w:ascii="Times New Roman" w:hAnsi="Times New Roman" w:cs="Times New Roman"/>
          <w:sz w:val="26"/>
          <w:szCs w:val="26"/>
        </w:rPr>
        <w:t xml:space="preserve">    </w:t>
      </w:r>
    </w:p>
    <w:p w:rsidR="004F57AA" w:rsidRPr="005A4656" w:rsidRDefault="00243C71"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 xml:space="preserve">La sentenza in esame cerca abilmente di sfuggire al pericolo che si paventa, reputando che </w:t>
      </w:r>
      <w:r w:rsidR="002C5129">
        <w:rPr>
          <w:rFonts w:ascii="Times New Roman" w:hAnsi="Times New Roman" w:cs="Times New Roman"/>
          <w:sz w:val="26"/>
          <w:szCs w:val="26"/>
        </w:rPr>
        <w:t>«</w:t>
      </w:r>
      <w:r w:rsidRPr="005A4656">
        <w:rPr>
          <w:rFonts w:ascii="Times New Roman" w:hAnsi="Times New Roman" w:cs="Times New Roman"/>
          <w:i/>
          <w:sz w:val="26"/>
          <w:szCs w:val="26"/>
        </w:rPr>
        <w:t>il</w:t>
      </w:r>
      <w:r w:rsidR="002C5129">
        <w:rPr>
          <w:rFonts w:ascii="Times New Roman" w:hAnsi="Times New Roman" w:cs="Times New Roman"/>
          <w:i/>
          <w:sz w:val="26"/>
          <w:szCs w:val="26"/>
        </w:rPr>
        <w:t xml:space="preserve"> “</w:t>
      </w:r>
      <w:r w:rsidRPr="005A4656">
        <w:rPr>
          <w:rFonts w:ascii="Times New Roman" w:hAnsi="Times New Roman" w:cs="Times New Roman"/>
          <w:i/>
          <w:sz w:val="26"/>
          <w:szCs w:val="26"/>
        </w:rPr>
        <w:t>catalogo</w:t>
      </w:r>
      <w:r w:rsidR="002C5129">
        <w:rPr>
          <w:rFonts w:ascii="Times New Roman" w:hAnsi="Times New Roman" w:cs="Times New Roman"/>
          <w:i/>
          <w:sz w:val="26"/>
          <w:szCs w:val="26"/>
        </w:rPr>
        <w:t>”</w:t>
      </w:r>
      <w:r w:rsidRPr="005A4656">
        <w:rPr>
          <w:rFonts w:ascii="Times New Roman" w:hAnsi="Times New Roman" w:cs="Times New Roman"/>
          <w:i/>
          <w:sz w:val="26"/>
          <w:szCs w:val="26"/>
        </w:rPr>
        <w:t xml:space="preserve"> delle ipotesi di cui alla lettera g) sia </w:t>
      </w:r>
      <w:r w:rsidR="002C5129">
        <w:rPr>
          <w:rFonts w:ascii="Times New Roman" w:hAnsi="Times New Roman" w:cs="Times New Roman"/>
          <w:i/>
          <w:sz w:val="26"/>
          <w:szCs w:val="26"/>
        </w:rPr>
        <w:t>“</w:t>
      </w:r>
      <w:r w:rsidRPr="005A4656">
        <w:rPr>
          <w:rFonts w:ascii="Times New Roman" w:hAnsi="Times New Roman" w:cs="Times New Roman"/>
          <w:i/>
          <w:sz w:val="26"/>
          <w:szCs w:val="26"/>
        </w:rPr>
        <w:t>aperto</w:t>
      </w:r>
      <w:r w:rsidR="002C5129">
        <w:rPr>
          <w:rFonts w:ascii="Times New Roman" w:hAnsi="Times New Roman" w:cs="Times New Roman"/>
          <w:i/>
          <w:sz w:val="26"/>
          <w:szCs w:val="26"/>
        </w:rPr>
        <w:t>”»</w:t>
      </w:r>
      <w:r w:rsidRPr="005A4656">
        <w:rPr>
          <w:rFonts w:ascii="Times New Roman" w:hAnsi="Times New Roman" w:cs="Times New Roman"/>
          <w:sz w:val="26"/>
          <w:szCs w:val="26"/>
        </w:rPr>
        <w:t xml:space="preserve"> e non tipizzato.</w:t>
      </w:r>
      <w:r w:rsidR="007871A8" w:rsidRPr="005A4656">
        <w:rPr>
          <w:rFonts w:ascii="Times New Roman" w:hAnsi="Times New Roman" w:cs="Times New Roman"/>
          <w:sz w:val="26"/>
          <w:szCs w:val="26"/>
        </w:rPr>
        <w:t xml:space="preserve"> </w:t>
      </w:r>
      <w:r w:rsidR="00614164" w:rsidRPr="005A4656">
        <w:rPr>
          <w:rFonts w:ascii="Times New Roman" w:hAnsi="Times New Roman" w:cs="Times New Roman"/>
          <w:sz w:val="26"/>
          <w:szCs w:val="26"/>
        </w:rPr>
        <w:t>Q</w:t>
      </w:r>
      <w:r w:rsidR="007871A8" w:rsidRPr="005A4656">
        <w:rPr>
          <w:rFonts w:ascii="Times New Roman" w:hAnsi="Times New Roman" w:cs="Times New Roman"/>
          <w:sz w:val="26"/>
          <w:szCs w:val="26"/>
        </w:rPr>
        <w:t xml:space="preserve">uindi sembra </w:t>
      </w:r>
      <w:r w:rsidR="00614164" w:rsidRPr="005A4656">
        <w:rPr>
          <w:rFonts w:ascii="Times New Roman" w:hAnsi="Times New Roman" w:cs="Times New Roman"/>
          <w:sz w:val="26"/>
          <w:szCs w:val="26"/>
        </w:rPr>
        <w:t xml:space="preserve">voler </w:t>
      </w:r>
      <w:r w:rsidR="007871A8" w:rsidRPr="005A4656">
        <w:rPr>
          <w:rFonts w:ascii="Times New Roman" w:hAnsi="Times New Roman" w:cs="Times New Roman"/>
          <w:sz w:val="26"/>
          <w:szCs w:val="26"/>
        </w:rPr>
        <w:t xml:space="preserve">sostenere che </w:t>
      </w:r>
      <w:proofErr w:type="spellStart"/>
      <w:r w:rsidR="007871A8" w:rsidRPr="005A4656">
        <w:rPr>
          <w:rFonts w:ascii="Times New Roman" w:hAnsi="Times New Roman" w:cs="Times New Roman"/>
          <w:i/>
          <w:sz w:val="26"/>
          <w:szCs w:val="26"/>
        </w:rPr>
        <w:t>lex</w:t>
      </w:r>
      <w:proofErr w:type="spellEnd"/>
      <w:r w:rsidR="007871A8" w:rsidRPr="005A4656">
        <w:rPr>
          <w:rFonts w:ascii="Times New Roman" w:hAnsi="Times New Roman" w:cs="Times New Roman"/>
          <w:i/>
          <w:sz w:val="26"/>
          <w:szCs w:val="26"/>
        </w:rPr>
        <w:t xml:space="preserve"> </w:t>
      </w:r>
      <w:proofErr w:type="spellStart"/>
      <w:r w:rsidR="007871A8" w:rsidRPr="005A4656">
        <w:rPr>
          <w:rFonts w:ascii="Times New Roman" w:hAnsi="Times New Roman" w:cs="Times New Roman"/>
          <w:i/>
          <w:sz w:val="26"/>
          <w:szCs w:val="26"/>
        </w:rPr>
        <w:t>ubi</w:t>
      </w:r>
      <w:proofErr w:type="spellEnd"/>
      <w:r w:rsidR="007871A8" w:rsidRPr="005A4656">
        <w:rPr>
          <w:rFonts w:ascii="Times New Roman" w:hAnsi="Times New Roman" w:cs="Times New Roman"/>
          <w:i/>
          <w:sz w:val="26"/>
          <w:szCs w:val="26"/>
        </w:rPr>
        <w:t xml:space="preserve"> </w:t>
      </w:r>
      <w:proofErr w:type="spellStart"/>
      <w:r w:rsidR="007871A8" w:rsidRPr="005A4656">
        <w:rPr>
          <w:rStyle w:val="resultlisthighlightterm"/>
          <w:rFonts w:ascii="Times New Roman" w:hAnsi="Times New Roman" w:cs="Times New Roman"/>
          <w:i/>
          <w:sz w:val="26"/>
          <w:szCs w:val="26"/>
        </w:rPr>
        <w:t>voluit</w:t>
      </w:r>
      <w:proofErr w:type="spellEnd"/>
      <w:r w:rsidR="007871A8" w:rsidRPr="005A4656">
        <w:rPr>
          <w:rFonts w:ascii="Times New Roman" w:hAnsi="Times New Roman" w:cs="Times New Roman"/>
          <w:i/>
          <w:sz w:val="26"/>
          <w:szCs w:val="26"/>
        </w:rPr>
        <w:t xml:space="preserve"> </w:t>
      </w:r>
      <w:r w:rsidR="007871A8" w:rsidRPr="005A4656">
        <w:rPr>
          <w:rStyle w:val="resultlisthighlightterm"/>
          <w:rFonts w:ascii="Times New Roman" w:hAnsi="Times New Roman" w:cs="Times New Roman"/>
          <w:i/>
          <w:sz w:val="26"/>
          <w:szCs w:val="26"/>
        </w:rPr>
        <w:t>dixit</w:t>
      </w:r>
      <w:r w:rsidR="007871A8" w:rsidRPr="005A4656">
        <w:rPr>
          <w:rFonts w:ascii="Times New Roman" w:hAnsi="Times New Roman" w:cs="Times New Roman"/>
          <w:sz w:val="26"/>
          <w:szCs w:val="26"/>
        </w:rPr>
        <w:t>.</w:t>
      </w:r>
      <w:r w:rsidRPr="005A4656">
        <w:rPr>
          <w:rFonts w:ascii="Times New Roman" w:hAnsi="Times New Roman" w:cs="Times New Roman"/>
          <w:sz w:val="26"/>
          <w:szCs w:val="26"/>
        </w:rPr>
        <w:t xml:space="preserve"> </w:t>
      </w:r>
    </w:p>
    <w:p w:rsidR="00243C71" w:rsidRPr="005A4656" w:rsidRDefault="00243C71"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Ebbene, non è senza significato che la</w:t>
      </w:r>
      <w:r w:rsidR="00C80B19" w:rsidRPr="005A4656">
        <w:rPr>
          <w:rFonts w:ascii="Times New Roman" w:hAnsi="Times New Roman" w:cs="Times New Roman"/>
          <w:sz w:val="26"/>
          <w:szCs w:val="26"/>
        </w:rPr>
        <w:t xml:space="preserve"> dottrina autorevole da ultimo </w:t>
      </w:r>
      <w:r w:rsidRPr="005A4656">
        <w:rPr>
          <w:rFonts w:ascii="Times New Roman" w:hAnsi="Times New Roman" w:cs="Times New Roman"/>
          <w:sz w:val="26"/>
          <w:szCs w:val="26"/>
        </w:rPr>
        <w:t>richiamat</w:t>
      </w:r>
      <w:r w:rsidR="00C80B19" w:rsidRPr="005A4656">
        <w:rPr>
          <w:rFonts w:ascii="Times New Roman" w:hAnsi="Times New Roman" w:cs="Times New Roman"/>
          <w:sz w:val="26"/>
          <w:szCs w:val="26"/>
        </w:rPr>
        <w:t>a</w:t>
      </w:r>
      <w:r w:rsidRPr="005A4656">
        <w:rPr>
          <w:rFonts w:ascii="Times New Roman" w:hAnsi="Times New Roman" w:cs="Times New Roman"/>
          <w:sz w:val="26"/>
          <w:szCs w:val="26"/>
        </w:rPr>
        <w:t xml:space="preserve"> precisa che “</w:t>
      </w:r>
      <w:r w:rsidRPr="005A4656">
        <w:rPr>
          <w:rFonts w:ascii="Times New Roman" w:hAnsi="Times New Roman" w:cs="Times New Roman"/>
          <w:i/>
          <w:sz w:val="26"/>
          <w:szCs w:val="26"/>
        </w:rPr>
        <w:t>un’eterointegrazione siffatta è ammessa in via eccezionale nelle ipotesi in cui sia deferita ad organi giudicanti una giurisdizione di equità, o venga loro rimesso un apprezzamento equitativo…</w:t>
      </w:r>
      <w:r w:rsidR="00614164" w:rsidRPr="005A4656">
        <w:rPr>
          <w:rFonts w:ascii="Times New Roman" w:hAnsi="Times New Roman" w:cs="Times New Roman"/>
          <w:i/>
          <w:sz w:val="26"/>
          <w:szCs w:val="26"/>
        </w:rPr>
        <w:t xml:space="preserve"> </w:t>
      </w:r>
      <w:r w:rsidRPr="005A4656">
        <w:rPr>
          <w:rFonts w:ascii="Times New Roman" w:hAnsi="Times New Roman" w:cs="Times New Roman"/>
          <w:i/>
          <w:sz w:val="26"/>
          <w:szCs w:val="26"/>
        </w:rPr>
        <w:t>In tali ipotesi può dirsi che il giudice venga sollevato sul piano del ‘legislatore’, sempre, però, limitatamente al caso singolo sottoposto alla sua decisione</w:t>
      </w:r>
      <w:r w:rsidRPr="005A4656">
        <w:rPr>
          <w:rFonts w:ascii="Times New Roman" w:hAnsi="Times New Roman" w:cs="Times New Roman"/>
          <w:sz w:val="26"/>
          <w:szCs w:val="26"/>
        </w:rPr>
        <w:t>” (</w:t>
      </w:r>
      <w:r w:rsidRPr="005A4656">
        <w:rPr>
          <w:rFonts w:ascii="Times New Roman" w:hAnsi="Times New Roman" w:cs="Times New Roman"/>
          <w:i/>
          <w:sz w:val="26"/>
          <w:szCs w:val="26"/>
        </w:rPr>
        <w:t>op. cit</w:t>
      </w:r>
      <w:r w:rsidRPr="005A4656">
        <w:rPr>
          <w:rFonts w:ascii="Times New Roman" w:hAnsi="Times New Roman" w:cs="Times New Roman"/>
          <w:sz w:val="26"/>
          <w:szCs w:val="26"/>
        </w:rPr>
        <w:t xml:space="preserve">., 51 s., con acute osservazioni e richiami della filosofia aristotelica sul concetto di equità e diritto). </w:t>
      </w:r>
      <w:r w:rsidR="002C5129">
        <w:rPr>
          <w:rFonts w:ascii="Times New Roman" w:hAnsi="Times New Roman" w:cs="Times New Roman"/>
          <w:sz w:val="26"/>
          <w:szCs w:val="26"/>
        </w:rPr>
        <w:t xml:space="preserve">Trattandosi di un principio generale affrontato dalla Plenaria, e non del singolo caso sottoposto al suo esame, non pare che questa operazione esegetica </w:t>
      </w:r>
      <w:proofErr w:type="spellStart"/>
      <w:r w:rsidR="002C5129">
        <w:rPr>
          <w:rFonts w:ascii="Times New Roman" w:hAnsi="Times New Roman" w:cs="Times New Roman"/>
          <w:sz w:val="26"/>
          <w:szCs w:val="26"/>
        </w:rPr>
        <w:t>eterointegrativa</w:t>
      </w:r>
      <w:proofErr w:type="spellEnd"/>
      <w:r w:rsidR="002C5129">
        <w:rPr>
          <w:rFonts w:ascii="Times New Roman" w:hAnsi="Times New Roman" w:cs="Times New Roman"/>
          <w:sz w:val="26"/>
          <w:szCs w:val="26"/>
        </w:rPr>
        <w:t xml:space="preserve"> sia plausibile. </w:t>
      </w:r>
    </w:p>
    <w:p w:rsidR="00FB19A5" w:rsidRPr="005A4656" w:rsidRDefault="00C80B19"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b/>
          <w:sz w:val="26"/>
          <w:szCs w:val="26"/>
        </w:rPr>
        <w:t>6</w:t>
      </w:r>
      <w:r w:rsidRPr="005A4656">
        <w:rPr>
          <w:rFonts w:ascii="Times New Roman" w:hAnsi="Times New Roman" w:cs="Times New Roman"/>
          <w:sz w:val="26"/>
          <w:szCs w:val="26"/>
        </w:rPr>
        <w:t xml:space="preserve">. </w:t>
      </w:r>
      <w:r w:rsidR="00FB19A5" w:rsidRPr="005A4656">
        <w:rPr>
          <w:rFonts w:ascii="Times New Roman" w:hAnsi="Times New Roman" w:cs="Times New Roman"/>
          <w:sz w:val="26"/>
          <w:szCs w:val="26"/>
        </w:rPr>
        <w:t>Vediamo dappresso, ovviamente nell’economia del presente lavoro, l’ausilio offerto dal legislatore per l’interprete e, quindi, in particolare gli storici princ</w:t>
      </w:r>
      <w:r w:rsidR="002C5129">
        <w:rPr>
          <w:rFonts w:ascii="Times New Roman" w:hAnsi="Times New Roman" w:cs="Times New Roman"/>
          <w:sz w:val="26"/>
          <w:szCs w:val="26"/>
        </w:rPr>
        <w:t>ì</w:t>
      </w:r>
      <w:r w:rsidR="00FB19A5" w:rsidRPr="005A4656">
        <w:rPr>
          <w:rFonts w:ascii="Times New Roman" w:hAnsi="Times New Roman" w:cs="Times New Roman"/>
          <w:sz w:val="26"/>
          <w:szCs w:val="26"/>
        </w:rPr>
        <w:t xml:space="preserve">pi dettati dalle disposizioni preliminari al codice civile.  </w:t>
      </w:r>
    </w:p>
    <w:p w:rsidR="003F1CFA" w:rsidRPr="005A4656" w:rsidRDefault="00F340D0"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b/>
          <w:sz w:val="26"/>
          <w:szCs w:val="26"/>
        </w:rPr>
        <w:t>6</w:t>
      </w:r>
      <w:r w:rsidR="00FB19A5" w:rsidRPr="005A4656">
        <w:rPr>
          <w:rFonts w:ascii="Times New Roman" w:hAnsi="Times New Roman" w:cs="Times New Roman"/>
          <w:b/>
          <w:sz w:val="26"/>
          <w:szCs w:val="26"/>
        </w:rPr>
        <w:t>.1.</w:t>
      </w:r>
      <w:r w:rsidR="00FB19A5" w:rsidRPr="005A4656">
        <w:rPr>
          <w:rFonts w:ascii="Times New Roman" w:hAnsi="Times New Roman" w:cs="Times New Roman"/>
          <w:sz w:val="26"/>
          <w:szCs w:val="26"/>
        </w:rPr>
        <w:t xml:space="preserve"> </w:t>
      </w:r>
      <w:r w:rsidR="005762CB" w:rsidRPr="005A4656">
        <w:rPr>
          <w:rFonts w:ascii="Times New Roman" w:hAnsi="Times New Roman" w:cs="Times New Roman"/>
          <w:sz w:val="26"/>
          <w:szCs w:val="26"/>
        </w:rPr>
        <w:t>In</w:t>
      </w:r>
      <w:r w:rsidR="00FB19A5" w:rsidRPr="005A4656">
        <w:rPr>
          <w:rFonts w:ascii="Times New Roman" w:hAnsi="Times New Roman" w:cs="Times New Roman"/>
          <w:sz w:val="26"/>
          <w:szCs w:val="26"/>
        </w:rPr>
        <w:t>nanzi tutto,</w:t>
      </w:r>
      <w:r w:rsidR="005762CB" w:rsidRPr="005A4656">
        <w:rPr>
          <w:rFonts w:ascii="Times New Roman" w:hAnsi="Times New Roman" w:cs="Times New Roman"/>
          <w:sz w:val="26"/>
          <w:szCs w:val="26"/>
        </w:rPr>
        <w:t xml:space="preserve"> non può di certo tacersi </w:t>
      </w:r>
      <w:r w:rsidR="004051A8" w:rsidRPr="005A4656">
        <w:rPr>
          <w:rFonts w:ascii="Times New Roman" w:hAnsi="Times New Roman" w:cs="Times New Roman"/>
          <w:sz w:val="26"/>
          <w:szCs w:val="26"/>
        </w:rPr>
        <w:t xml:space="preserve">che l’art. 12 delle disposizioni </w:t>
      </w:r>
      <w:r w:rsidR="0099072A" w:rsidRPr="005A4656">
        <w:rPr>
          <w:rFonts w:ascii="Times New Roman" w:hAnsi="Times New Roman" w:cs="Times New Roman"/>
          <w:sz w:val="26"/>
          <w:szCs w:val="26"/>
        </w:rPr>
        <w:t>sulla legge in generale statuisce che “</w:t>
      </w:r>
      <w:r w:rsidR="0099072A" w:rsidRPr="005A4656">
        <w:rPr>
          <w:rFonts w:ascii="Times New Roman" w:hAnsi="Times New Roman" w:cs="Times New Roman"/>
          <w:i/>
          <w:sz w:val="26"/>
          <w:szCs w:val="26"/>
        </w:rPr>
        <w:t>Nell’applicare la legge non si può ad essa attribuire altro senso che quello fatto palese dal significato proprio delle parole secondo la connessione di esse, e dalla intenzione del legislatore</w:t>
      </w:r>
      <w:r w:rsidR="004F57AA" w:rsidRPr="005A4656">
        <w:rPr>
          <w:rFonts w:ascii="Times New Roman" w:hAnsi="Times New Roman" w:cs="Times New Roman"/>
          <w:i/>
          <w:sz w:val="26"/>
          <w:szCs w:val="26"/>
        </w:rPr>
        <w:t>.</w:t>
      </w:r>
      <w:r w:rsidR="0099072A" w:rsidRPr="005A4656">
        <w:rPr>
          <w:rFonts w:ascii="Times New Roman" w:hAnsi="Times New Roman" w:cs="Times New Roman"/>
          <w:sz w:val="26"/>
          <w:szCs w:val="26"/>
        </w:rPr>
        <w:t>”</w:t>
      </w:r>
    </w:p>
    <w:p w:rsidR="00C80B19" w:rsidRPr="005A4656" w:rsidRDefault="003F1CFA" w:rsidP="00C80B19">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Invero, è dato ampiamente condiviso dalla giurisprudenza che quando l</w:t>
      </w:r>
      <w:r w:rsidR="00C80B19" w:rsidRPr="005A4656">
        <w:rPr>
          <w:rFonts w:ascii="Times New Roman" w:hAnsi="Times New Roman" w:cs="Times New Roman"/>
          <w:sz w:val="26"/>
          <w:szCs w:val="26"/>
        </w:rPr>
        <w:t>’</w:t>
      </w:r>
      <w:r w:rsidRPr="005A4656">
        <w:rPr>
          <w:rFonts w:ascii="Times New Roman" w:hAnsi="Times New Roman" w:cs="Times New Roman"/>
          <w:sz w:val="26"/>
          <w:szCs w:val="26"/>
        </w:rPr>
        <w:t xml:space="preserve">interpretazione letterale di una norma di legge sia sufficiente ad esprimere un significato chiaro ed univoco, l’interprete non deve ricorrere al criterio ermeneutico sussidiario costituito dalla ricerca, attraverso l’esame complessivo del testo, della </w:t>
      </w:r>
      <w:proofErr w:type="spellStart"/>
      <w:r w:rsidRPr="005A4656">
        <w:rPr>
          <w:rFonts w:ascii="Times New Roman" w:hAnsi="Times New Roman" w:cs="Times New Roman"/>
          <w:i/>
          <w:sz w:val="26"/>
          <w:szCs w:val="26"/>
        </w:rPr>
        <w:t>mens</w:t>
      </w:r>
      <w:proofErr w:type="spellEnd"/>
      <w:r w:rsidRPr="005A4656">
        <w:rPr>
          <w:rFonts w:ascii="Times New Roman" w:hAnsi="Times New Roman" w:cs="Times New Roman"/>
          <w:i/>
          <w:sz w:val="26"/>
          <w:szCs w:val="26"/>
        </w:rPr>
        <w:t xml:space="preserve"> </w:t>
      </w:r>
      <w:proofErr w:type="spellStart"/>
      <w:r w:rsidRPr="005A4656">
        <w:rPr>
          <w:rFonts w:ascii="Times New Roman" w:hAnsi="Times New Roman" w:cs="Times New Roman"/>
          <w:i/>
          <w:sz w:val="26"/>
          <w:szCs w:val="26"/>
        </w:rPr>
        <w:t>legis</w:t>
      </w:r>
      <w:proofErr w:type="spellEnd"/>
      <w:r w:rsidRPr="005A4656">
        <w:rPr>
          <w:rFonts w:ascii="Times New Roman" w:hAnsi="Times New Roman" w:cs="Times New Roman"/>
          <w:sz w:val="26"/>
          <w:szCs w:val="26"/>
        </w:rPr>
        <w:t xml:space="preserve">, specialmente </w:t>
      </w:r>
      <w:r w:rsidRPr="005A4656">
        <w:rPr>
          <w:rFonts w:ascii="Times New Roman" w:hAnsi="Times New Roman" w:cs="Times New Roman"/>
          <w:sz w:val="26"/>
          <w:szCs w:val="26"/>
        </w:rPr>
        <w:lastRenderedPageBreak/>
        <w:t>se, con ciò, si tenda a modificare la volontà di legge inequivocabilmente espressa (Cass., 3 dicembre 1970, n. 2533; 17 novembre 1993, n. 11359), laddove soltanto quando la lettera della norma sia ambigua e sia altresì infruttuoso il ricorso al predetto criterio ermeneutico sussidiario, l’elemento letterale e l’intenzione del legislatore, rivelatisi insufficienti in quanto utilizzati singolarmente, acquistano, nel procedimento interpretativo della norma, un ruolo paritetico, sì che il secondo funge da criterio comprimario di ermeneutica atto ad ovviare all’equivocità della formulazione del testo da interpretare (Cass., 26 febbraio 1983, n. 1482)</w:t>
      </w:r>
      <w:r w:rsidR="00614164" w:rsidRPr="005A4656">
        <w:rPr>
          <w:rFonts w:ascii="Times New Roman" w:hAnsi="Times New Roman" w:cs="Times New Roman"/>
          <w:sz w:val="26"/>
          <w:szCs w:val="26"/>
        </w:rPr>
        <w:t>;</w:t>
      </w:r>
      <w:r w:rsidRPr="005A4656">
        <w:rPr>
          <w:rFonts w:ascii="Times New Roman" w:hAnsi="Times New Roman" w:cs="Times New Roman"/>
          <w:sz w:val="26"/>
          <w:szCs w:val="26"/>
        </w:rPr>
        <w:t xml:space="preserve"> potendo</w:t>
      </w:r>
      <w:r w:rsidR="00614164" w:rsidRPr="005A4656">
        <w:rPr>
          <w:rFonts w:ascii="Times New Roman" w:hAnsi="Times New Roman" w:cs="Times New Roman"/>
          <w:sz w:val="26"/>
          <w:szCs w:val="26"/>
        </w:rPr>
        <w:t>,</w:t>
      </w:r>
      <w:r w:rsidRPr="005A4656">
        <w:rPr>
          <w:rFonts w:ascii="Times New Roman" w:hAnsi="Times New Roman" w:cs="Times New Roman"/>
          <w:sz w:val="26"/>
          <w:szCs w:val="26"/>
        </w:rPr>
        <w:t xml:space="preserve"> peraltro</w:t>
      </w:r>
      <w:r w:rsidR="00614164" w:rsidRPr="005A4656">
        <w:rPr>
          <w:rFonts w:ascii="Times New Roman" w:hAnsi="Times New Roman" w:cs="Times New Roman"/>
          <w:sz w:val="26"/>
          <w:szCs w:val="26"/>
        </w:rPr>
        <w:t>,</w:t>
      </w:r>
      <w:r w:rsidRPr="005A4656">
        <w:rPr>
          <w:rFonts w:ascii="Times New Roman" w:hAnsi="Times New Roman" w:cs="Times New Roman"/>
          <w:sz w:val="26"/>
          <w:szCs w:val="26"/>
        </w:rPr>
        <w:t xml:space="preserve"> assumere rilievo prevalente rispetto all’interpretazione letterale soltanto nel caso, eccezionale, in cui l’effetto giuridico risultante dalla formulazione della disposizione sia incompatibile con il sistema normativo, atteso che non è consentito all’interprete correggere la norma, nel significato tecnico proprio delle espressioni che la compongono, nell'ipotesi in cui ritenga che tale effetto sia solo inadatto rispetto alla finalità pratica cui la norma è intesa (Cass., 13 aprile 1996, n. 3495) (da ultimo, Cass., 6 aprile 2001, n. 5128).</w:t>
      </w:r>
      <w:r w:rsidR="00C80B19" w:rsidRPr="005A4656">
        <w:rPr>
          <w:rFonts w:ascii="Times New Roman" w:hAnsi="Times New Roman" w:cs="Times New Roman"/>
          <w:sz w:val="26"/>
          <w:szCs w:val="26"/>
        </w:rPr>
        <w:t xml:space="preserve"> </w:t>
      </w:r>
      <w:r w:rsidR="00614164" w:rsidRPr="005A4656">
        <w:rPr>
          <w:rFonts w:ascii="Times New Roman" w:hAnsi="Times New Roman" w:cs="Times New Roman"/>
          <w:sz w:val="26"/>
          <w:szCs w:val="26"/>
        </w:rPr>
        <w:t xml:space="preserve">Del resto, </w:t>
      </w:r>
      <w:r w:rsidR="00C80B19" w:rsidRPr="005A4656">
        <w:rPr>
          <w:rFonts w:ascii="Times New Roman" w:hAnsi="Times New Roman" w:cs="Times New Roman"/>
          <w:sz w:val="26"/>
          <w:szCs w:val="26"/>
        </w:rPr>
        <w:t>“</w:t>
      </w:r>
      <w:r w:rsidR="00C80B19" w:rsidRPr="005A4656">
        <w:rPr>
          <w:rFonts w:ascii="Times New Roman" w:hAnsi="Times New Roman" w:cs="Times New Roman"/>
          <w:i/>
          <w:sz w:val="26"/>
          <w:szCs w:val="26"/>
        </w:rPr>
        <w:t>secondo i più elementari principii ermeneutici applicabili alle norme penali e ‘para-penali’ (</w:t>
      </w:r>
      <w:r w:rsidR="00C80B19" w:rsidRPr="005A4656">
        <w:rPr>
          <w:rStyle w:val="corsivo"/>
          <w:rFonts w:ascii="Times New Roman" w:hAnsi="Times New Roman" w:cs="Times New Roman"/>
          <w:sz w:val="26"/>
          <w:szCs w:val="26"/>
        </w:rPr>
        <w:t>id est</w:t>
      </w:r>
      <w:r w:rsidR="00C80B19" w:rsidRPr="005A4656">
        <w:rPr>
          <w:rFonts w:ascii="Times New Roman" w:hAnsi="Times New Roman" w:cs="Times New Roman"/>
          <w:i/>
          <w:sz w:val="26"/>
          <w:szCs w:val="26"/>
        </w:rPr>
        <w:t xml:space="preserve">: a contenuto sanzionatorio-afflittivo), </w:t>
      </w:r>
      <w:r w:rsidR="00C80B19" w:rsidRPr="005A4656">
        <w:rPr>
          <w:rStyle w:val="corsivo"/>
          <w:rFonts w:ascii="Times New Roman" w:hAnsi="Times New Roman" w:cs="Times New Roman"/>
          <w:i/>
          <w:sz w:val="26"/>
          <w:szCs w:val="26"/>
        </w:rPr>
        <w:t>l’interpretazione analogico-estensiva</w:t>
      </w:r>
      <w:r w:rsidR="00C80B19" w:rsidRPr="005A4656">
        <w:rPr>
          <w:rFonts w:ascii="Times New Roman" w:hAnsi="Times New Roman" w:cs="Times New Roman"/>
          <w:i/>
          <w:sz w:val="26"/>
          <w:szCs w:val="26"/>
        </w:rPr>
        <w:t xml:space="preserve"> - fisiologicamente preposta a colmare lacune normative (che peraltro nella fattispecie non è dato rilevare) - </w:t>
      </w:r>
      <w:r w:rsidR="00C80B19" w:rsidRPr="005A4656">
        <w:rPr>
          <w:rStyle w:val="corsivo"/>
          <w:rFonts w:ascii="Times New Roman" w:hAnsi="Times New Roman" w:cs="Times New Roman"/>
          <w:i/>
          <w:sz w:val="26"/>
          <w:szCs w:val="26"/>
        </w:rPr>
        <w:t>non può essere utilizzata al fine di inasprire un regime sanzionatorio</w:t>
      </w:r>
      <w:r w:rsidR="00C80B19" w:rsidRPr="005A4656">
        <w:rPr>
          <w:rFonts w:ascii="Times New Roman" w:hAnsi="Times New Roman" w:cs="Times New Roman"/>
          <w:i/>
          <w:sz w:val="26"/>
          <w:szCs w:val="26"/>
        </w:rPr>
        <w:t xml:space="preserve">; … comunque, secondo una regola ermeneutica arcinota, </w:t>
      </w:r>
      <w:r w:rsidR="00C80B19" w:rsidRPr="005A4656">
        <w:rPr>
          <w:rStyle w:val="corsivo"/>
          <w:rFonts w:ascii="Times New Roman" w:hAnsi="Times New Roman" w:cs="Times New Roman"/>
          <w:i/>
          <w:sz w:val="26"/>
          <w:szCs w:val="26"/>
        </w:rPr>
        <w:t>fra due possibili interpretazioni di una norma posta a garanzia di una determinata categoria di soggetti, deve prevalere quella c.d. ‘di miglior favore’ e non certo quella volta a ridurre al minimo la garanzia che il Legislatore ha voluto accordare e valorizzare</w:t>
      </w:r>
      <w:r w:rsidR="00C80B19" w:rsidRPr="005A4656">
        <w:rPr>
          <w:rFonts w:ascii="Times New Roman" w:hAnsi="Times New Roman" w:cs="Times New Roman"/>
          <w:sz w:val="26"/>
          <w:szCs w:val="26"/>
        </w:rPr>
        <w:t xml:space="preserve">” (Cons. </w:t>
      </w:r>
      <w:proofErr w:type="spellStart"/>
      <w:r w:rsidR="00C80B19" w:rsidRPr="005A4656">
        <w:rPr>
          <w:rFonts w:ascii="Times New Roman" w:hAnsi="Times New Roman" w:cs="Times New Roman"/>
          <w:sz w:val="26"/>
          <w:szCs w:val="26"/>
        </w:rPr>
        <w:t>giust</w:t>
      </w:r>
      <w:proofErr w:type="spellEnd"/>
      <w:r w:rsidR="00C80B19" w:rsidRPr="005A4656">
        <w:rPr>
          <w:rFonts w:ascii="Times New Roman" w:hAnsi="Times New Roman" w:cs="Times New Roman"/>
          <w:sz w:val="26"/>
          <w:szCs w:val="26"/>
        </w:rPr>
        <w:t xml:space="preserve">. </w:t>
      </w:r>
      <w:proofErr w:type="spellStart"/>
      <w:r w:rsidR="00C80B19" w:rsidRPr="005A4656">
        <w:rPr>
          <w:rFonts w:ascii="Times New Roman" w:hAnsi="Times New Roman" w:cs="Times New Roman"/>
          <w:sz w:val="26"/>
          <w:szCs w:val="26"/>
        </w:rPr>
        <w:t>amm</w:t>
      </w:r>
      <w:proofErr w:type="spellEnd"/>
      <w:r w:rsidR="00C80B19" w:rsidRPr="005A4656">
        <w:rPr>
          <w:rFonts w:ascii="Times New Roman" w:hAnsi="Times New Roman" w:cs="Times New Roman"/>
          <w:sz w:val="26"/>
          <w:szCs w:val="26"/>
        </w:rPr>
        <w:t>., 31 luglio 2017, n. 346).</w:t>
      </w:r>
    </w:p>
    <w:p w:rsidR="00614164" w:rsidRPr="005A4656" w:rsidRDefault="00253499"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 xml:space="preserve">L’articolo 12 </w:t>
      </w:r>
      <w:proofErr w:type="spellStart"/>
      <w:r w:rsidR="004F57AA" w:rsidRPr="005A4656">
        <w:rPr>
          <w:rFonts w:ascii="Times New Roman" w:hAnsi="Times New Roman" w:cs="Times New Roman"/>
          <w:sz w:val="26"/>
          <w:szCs w:val="26"/>
        </w:rPr>
        <w:t>disp</w:t>
      </w:r>
      <w:proofErr w:type="spellEnd"/>
      <w:r w:rsidR="004F57AA" w:rsidRPr="005A4656">
        <w:rPr>
          <w:rFonts w:ascii="Times New Roman" w:hAnsi="Times New Roman" w:cs="Times New Roman"/>
          <w:sz w:val="26"/>
          <w:szCs w:val="26"/>
        </w:rPr>
        <w:t xml:space="preserve">. </w:t>
      </w:r>
      <w:proofErr w:type="spellStart"/>
      <w:r w:rsidR="004F57AA" w:rsidRPr="005A4656">
        <w:rPr>
          <w:rFonts w:ascii="Times New Roman" w:hAnsi="Times New Roman" w:cs="Times New Roman"/>
          <w:sz w:val="26"/>
          <w:szCs w:val="26"/>
        </w:rPr>
        <w:t>prelim</w:t>
      </w:r>
      <w:proofErr w:type="spellEnd"/>
      <w:r w:rsidR="004F57AA" w:rsidRPr="005A4656">
        <w:rPr>
          <w:rFonts w:ascii="Times New Roman" w:hAnsi="Times New Roman" w:cs="Times New Roman"/>
          <w:sz w:val="26"/>
          <w:szCs w:val="26"/>
        </w:rPr>
        <w:t xml:space="preserve">. </w:t>
      </w:r>
      <w:r w:rsidRPr="005A4656">
        <w:rPr>
          <w:rFonts w:ascii="Times New Roman" w:hAnsi="Times New Roman" w:cs="Times New Roman"/>
          <w:sz w:val="26"/>
          <w:szCs w:val="26"/>
        </w:rPr>
        <w:t>prescrive rigorosamente che l’unico criterio interpretativo è il senso fatto palese dal significato delle parole secondo la loro connessione: “</w:t>
      </w:r>
      <w:r w:rsidRPr="005A4656">
        <w:rPr>
          <w:rFonts w:ascii="Times New Roman" w:hAnsi="Times New Roman" w:cs="Times New Roman"/>
          <w:i/>
          <w:sz w:val="26"/>
          <w:szCs w:val="26"/>
        </w:rPr>
        <w:t xml:space="preserve">non si può attribuire </w:t>
      </w:r>
      <w:r w:rsidRPr="005A4656">
        <w:rPr>
          <w:rFonts w:ascii="Times New Roman" w:hAnsi="Times New Roman" w:cs="Times New Roman"/>
          <w:b/>
          <w:i/>
          <w:sz w:val="26"/>
          <w:szCs w:val="26"/>
        </w:rPr>
        <w:t>altro</w:t>
      </w:r>
      <w:r w:rsidRPr="005A4656">
        <w:rPr>
          <w:rFonts w:ascii="Times New Roman" w:hAnsi="Times New Roman" w:cs="Times New Roman"/>
          <w:i/>
          <w:sz w:val="26"/>
          <w:szCs w:val="26"/>
        </w:rPr>
        <w:t xml:space="preserve"> senso</w:t>
      </w:r>
      <w:r w:rsidRPr="005A4656">
        <w:rPr>
          <w:rFonts w:ascii="Times New Roman" w:hAnsi="Times New Roman" w:cs="Times New Roman"/>
          <w:sz w:val="26"/>
          <w:szCs w:val="26"/>
        </w:rPr>
        <w:t>”</w:t>
      </w:r>
      <w:r w:rsidR="004F57AA" w:rsidRPr="005A4656">
        <w:rPr>
          <w:rFonts w:ascii="Times New Roman" w:hAnsi="Times New Roman" w:cs="Times New Roman"/>
          <w:sz w:val="26"/>
          <w:szCs w:val="26"/>
        </w:rPr>
        <w:t>, recita la norma</w:t>
      </w:r>
      <w:r w:rsidRPr="005A4656">
        <w:rPr>
          <w:rFonts w:ascii="Times New Roman" w:hAnsi="Times New Roman" w:cs="Times New Roman"/>
          <w:sz w:val="26"/>
          <w:szCs w:val="26"/>
        </w:rPr>
        <w:t>.</w:t>
      </w:r>
    </w:p>
    <w:p w:rsidR="00253499" w:rsidRPr="005A4656" w:rsidRDefault="00614164"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 xml:space="preserve">Ebbene, se il legislatore, con l’art. 67 lettera g) </w:t>
      </w:r>
      <w:r w:rsidR="002C5129">
        <w:rPr>
          <w:rFonts w:ascii="Times New Roman" w:hAnsi="Times New Roman" w:cs="Times New Roman"/>
          <w:sz w:val="26"/>
          <w:szCs w:val="26"/>
        </w:rPr>
        <w:t xml:space="preserve">- norma dall’evidente valenza para-penale - </w:t>
      </w:r>
      <w:r w:rsidRPr="005A4656">
        <w:rPr>
          <w:rFonts w:ascii="Times New Roman" w:hAnsi="Times New Roman" w:cs="Times New Roman"/>
          <w:sz w:val="26"/>
          <w:szCs w:val="26"/>
        </w:rPr>
        <w:t xml:space="preserve">ha voluto circoscrivere l’incapacità giuridica della ditta interdetta alle sole obbligazioni pubbliche e non anche a quelle private, non si vede come possa darsi un senso diverso rispetto a quello fatto palese </w:t>
      </w:r>
      <w:r w:rsidR="006A6A81" w:rsidRPr="005A4656">
        <w:rPr>
          <w:rFonts w:ascii="Times New Roman" w:hAnsi="Times New Roman" w:cs="Times New Roman"/>
          <w:sz w:val="26"/>
          <w:szCs w:val="26"/>
        </w:rPr>
        <w:t xml:space="preserve">dal significato proprio delle parole. Il ‘catalogo’ non può che riguardare solo i provvedimenti amministrativi ampliativi della </w:t>
      </w:r>
      <w:r w:rsidR="006A6A81" w:rsidRPr="005A4656">
        <w:rPr>
          <w:rFonts w:ascii="Times New Roman" w:hAnsi="Times New Roman" w:cs="Times New Roman"/>
          <w:sz w:val="26"/>
          <w:szCs w:val="26"/>
        </w:rPr>
        <w:lastRenderedPageBreak/>
        <w:t xml:space="preserve">sfera giuridica del destinatario dell’interdittiva prefettizia e non </w:t>
      </w:r>
      <w:r w:rsidR="002C5129">
        <w:rPr>
          <w:rFonts w:ascii="Times New Roman" w:hAnsi="Times New Roman" w:cs="Times New Roman"/>
          <w:sz w:val="26"/>
          <w:szCs w:val="26"/>
        </w:rPr>
        <w:t xml:space="preserve">estendersi </w:t>
      </w:r>
      <w:r w:rsidR="006A6A81" w:rsidRPr="005A4656">
        <w:rPr>
          <w:rFonts w:ascii="Times New Roman" w:hAnsi="Times New Roman" w:cs="Times New Roman"/>
          <w:sz w:val="26"/>
          <w:szCs w:val="26"/>
        </w:rPr>
        <w:t xml:space="preserve">anche </w:t>
      </w:r>
      <w:r w:rsidR="002C5129">
        <w:rPr>
          <w:rFonts w:ascii="Times New Roman" w:hAnsi="Times New Roman" w:cs="Times New Roman"/>
          <w:sz w:val="26"/>
          <w:szCs w:val="26"/>
        </w:rPr>
        <w:t>al</w:t>
      </w:r>
      <w:r w:rsidR="006A6A81" w:rsidRPr="005A4656">
        <w:rPr>
          <w:rFonts w:ascii="Times New Roman" w:hAnsi="Times New Roman" w:cs="Times New Roman"/>
          <w:sz w:val="26"/>
          <w:szCs w:val="26"/>
        </w:rPr>
        <w:t xml:space="preserve">le obbligazioni di contenuto privatistico che trovano fonte nel diritto privato o in un contratto. </w:t>
      </w:r>
      <w:r w:rsidRPr="005A4656">
        <w:rPr>
          <w:rFonts w:ascii="Times New Roman" w:hAnsi="Times New Roman" w:cs="Times New Roman"/>
          <w:sz w:val="26"/>
          <w:szCs w:val="26"/>
        </w:rPr>
        <w:t xml:space="preserve">  </w:t>
      </w:r>
      <w:r w:rsidR="00253499" w:rsidRPr="005A4656">
        <w:rPr>
          <w:rFonts w:ascii="Times New Roman" w:hAnsi="Times New Roman" w:cs="Times New Roman"/>
          <w:sz w:val="26"/>
          <w:szCs w:val="26"/>
        </w:rPr>
        <w:t xml:space="preserve"> </w:t>
      </w:r>
    </w:p>
    <w:p w:rsidR="006A6A81" w:rsidRPr="005A4656" w:rsidRDefault="00F340D0"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b/>
          <w:sz w:val="26"/>
          <w:szCs w:val="26"/>
        </w:rPr>
        <w:t>6</w:t>
      </w:r>
      <w:r w:rsidR="00FB19A5" w:rsidRPr="005A4656">
        <w:rPr>
          <w:rFonts w:ascii="Times New Roman" w:hAnsi="Times New Roman" w:cs="Times New Roman"/>
          <w:b/>
          <w:sz w:val="26"/>
          <w:szCs w:val="26"/>
        </w:rPr>
        <w:t>.2.</w:t>
      </w:r>
      <w:r w:rsidR="00FB19A5" w:rsidRPr="005A4656">
        <w:rPr>
          <w:rFonts w:ascii="Times New Roman" w:hAnsi="Times New Roman" w:cs="Times New Roman"/>
          <w:sz w:val="26"/>
          <w:szCs w:val="26"/>
        </w:rPr>
        <w:t xml:space="preserve"> Il comma 2 dell’art. 12</w:t>
      </w:r>
      <w:r w:rsidR="006A6A81" w:rsidRPr="005A4656">
        <w:rPr>
          <w:rFonts w:ascii="Times New Roman" w:hAnsi="Times New Roman" w:cs="Times New Roman"/>
          <w:sz w:val="26"/>
          <w:szCs w:val="26"/>
        </w:rPr>
        <w:t xml:space="preserve"> citato</w:t>
      </w:r>
      <w:r w:rsidR="00FB19A5" w:rsidRPr="005A4656">
        <w:rPr>
          <w:rFonts w:ascii="Times New Roman" w:hAnsi="Times New Roman" w:cs="Times New Roman"/>
          <w:sz w:val="26"/>
          <w:szCs w:val="26"/>
        </w:rPr>
        <w:t xml:space="preserve"> consente il ricorso all’interpretazione analogica. Sembra, dalla lettura della motivazione della decisione della Plenaria, che il divieto temporaneo del pagamento della somma dovuta a titolo risarcitorio risieda </w:t>
      </w:r>
      <w:r w:rsidR="008F0138" w:rsidRPr="005A4656">
        <w:rPr>
          <w:rFonts w:ascii="Times New Roman" w:hAnsi="Times New Roman" w:cs="Times New Roman"/>
          <w:sz w:val="26"/>
          <w:szCs w:val="26"/>
        </w:rPr>
        <w:t xml:space="preserve">nel “catalogo” che lo stesso legislatore </w:t>
      </w:r>
      <w:r w:rsidR="006A6A81" w:rsidRPr="005A4656">
        <w:rPr>
          <w:rFonts w:ascii="Times New Roman" w:hAnsi="Times New Roman" w:cs="Times New Roman"/>
          <w:sz w:val="26"/>
          <w:szCs w:val="26"/>
        </w:rPr>
        <w:t>h</w:t>
      </w:r>
      <w:r w:rsidR="008F0138" w:rsidRPr="005A4656">
        <w:rPr>
          <w:rFonts w:ascii="Times New Roman" w:hAnsi="Times New Roman" w:cs="Times New Roman"/>
          <w:sz w:val="26"/>
          <w:szCs w:val="26"/>
        </w:rPr>
        <w:t>a inteso non tipizzare</w:t>
      </w:r>
      <w:r w:rsidR="006A6A81" w:rsidRPr="005A4656">
        <w:rPr>
          <w:rFonts w:ascii="Times New Roman" w:hAnsi="Times New Roman" w:cs="Times New Roman"/>
          <w:sz w:val="26"/>
          <w:szCs w:val="26"/>
        </w:rPr>
        <w:t>,</w:t>
      </w:r>
      <w:r w:rsidR="008F0138" w:rsidRPr="005A4656">
        <w:rPr>
          <w:rFonts w:ascii="Times New Roman" w:hAnsi="Times New Roman" w:cs="Times New Roman"/>
          <w:sz w:val="26"/>
          <w:szCs w:val="26"/>
        </w:rPr>
        <w:t xml:space="preserve"> espresso dalla locuzione “</w:t>
      </w:r>
      <w:r w:rsidR="00FB19A5" w:rsidRPr="005A4656">
        <w:rPr>
          <w:rFonts w:ascii="Times New Roman" w:hAnsi="Times New Roman" w:cs="Times New Roman"/>
          <w:i/>
          <w:sz w:val="26"/>
          <w:szCs w:val="26"/>
        </w:rPr>
        <w:t>altre erogazioni dello stesso tipo, comunque denominate</w:t>
      </w:r>
      <w:r w:rsidR="008F0138" w:rsidRPr="005A4656">
        <w:rPr>
          <w:rFonts w:ascii="Times New Roman" w:hAnsi="Times New Roman" w:cs="Times New Roman"/>
          <w:sz w:val="26"/>
          <w:szCs w:val="26"/>
        </w:rPr>
        <w:t>”, analoghe, quindi, ai contributi, finanziamenti</w:t>
      </w:r>
      <w:r w:rsidR="006A6A81" w:rsidRPr="005A4656">
        <w:rPr>
          <w:rFonts w:ascii="Times New Roman" w:hAnsi="Times New Roman" w:cs="Times New Roman"/>
          <w:sz w:val="26"/>
          <w:szCs w:val="26"/>
        </w:rPr>
        <w:t>,</w:t>
      </w:r>
      <w:r w:rsidR="008F0138" w:rsidRPr="005A4656">
        <w:rPr>
          <w:rFonts w:ascii="Times New Roman" w:hAnsi="Times New Roman" w:cs="Times New Roman"/>
          <w:sz w:val="26"/>
          <w:szCs w:val="26"/>
        </w:rPr>
        <w:t xml:space="preserve"> ecc. Ebbene, </w:t>
      </w:r>
      <w:r w:rsidR="002C5129">
        <w:rPr>
          <w:rFonts w:ascii="Times New Roman" w:hAnsi="Times New Roman" w:cs="Times New Roman"/>
          <w:sz w:val="26"/>
          <w:szCs w:val="26"/>
        </w:rPr>
        <w:t xml:space="preserve">dalla semplice lettura </w:t>
      </w:r>
      <w:r w:rsidR="002C5129" w:rsidRPr="005A4656">
        <w:rPr>
          <w:rFonts w:ascii="Times New Roman" w:hAnsi="Times New Roman" w:cs="Times New Roman"/>
          <w:sz w:val="26"/>
          <w:szCs w:val="26"/>
        </w:rPr>
        <w:t xml:space="preserve">emerge </w:t>
      </w:r>
      <w:r w:rsidR="008F0138" w:rsidRPr="005A4656">
        <w:rPr>
          <w:rFonts w:ascii="Times New Roman" w:hAnsi="Times New Roman" w:cs="Times New Roman"/>
          <w:sz w:val="26"/>
          <w:szCs w:val="26"/>
        </w:rPr>
        <w:t>il riferimento a</w:t>
      </w:r>
      <w:r w:rsidR="006A6A81" w:rsidRPr="005A4656">
        <w:rPr>
          <w:rFonts w:ascii="Times New Roman" w:hAnsi="Times New Roman" w:cs="Times New Roman"/>
          <w:sz w:val="26"/>
          <w:szCs w:val="26"/>
        </w:rPr>
        <w:t>l</w:t>
      </w:r>
      <w:r w:rsidR="008F0138" w:rsidRPr="005A4656">
        <w:rPr>
          <w:rFonts w:ascii="Times New Roman" w:hAnsi="Times New Roman" w:cs="Times New Roman"/>
          <w:sz w:val="26"/>
          <w:szCs w:val="26"/>
        </w:rPr>
        <w:t xml:space="preserve"> dato </w:t>
      </w:r>
      <w:r w:rsidR="002C5129">
        <w:rPr>
          <w:rFonts w:ascii="Times New Roman" w:hAnsi="Times New Roman" w:cs="Times New Roman"/>
          <w:sz w:val="26"/>
          <w:szCs w:val="26"/>
        </w:rPr>
        <w:t xml:space="preserve">richiesto dalla stessa norma </w:t>
      </w:r>
      <w:r w:rsidR="008F0138" w:rsidRPr="005A4656">
        <w:rPr>
          <w:rFonts w:ascii="Times New Roman" w:hAnsi="Times New Roman" w:cs="Times New Roman"/>
          <w:sz w:val="26"/>
          <w:szCs w:val="26"/>
        </w:rPr>
        <w:t xml:space="preserve">di </w:t>
      </w:r>
      <w:r w:rsidR="002C5129">
        <w:rPr>
          <w:rFonts w:ascii="Times New Roman" w:hAnsi="Times New Roman" w:cs="Times New Roman"/>
          <w:sz w:val="26"/>
          <w:szCs w:val="26"/>
        </w:rPr>
        <w:t>una sorta di rinvio di c</w:t>
      </w:r>
      <w:r w:rsidR="008F0138" w:rsidRPr="005A4656">
        <w:rPr>
          <w:rFonts w:ascii="Times New Roman" w:hAnsi="Times New Roman" w:cs="Times New Roman"/>
          <w:sz w:val="26"/>
          <w:szCs w:val="26"/>
        </w:rPr>
        <w:t xml:space="preserve">ontenuto </w:t>
      </w:r>
      <w:r w:rsidR="008F0138" w:rsidRPr="005A4656">
        <w:rPr>
          <w:rFonts w:ascii="Times New Roman" w:hAnsi="Times New Roman" w:cs="Times New Roman"/>
          <w:i/>
          <w:sz w:val="26"/>
          <w:szCs w:val="26"/>
        </w:rPr>
        <w:t>analogico</w:t>
      </w:r>
      <w:r w:rsidR="002C5129">
        <w:rPr>
          <w:rFonts w:ascii="Times New Roman" w:hAnsi="Times New Roman" w:cs="Times New Roman"/>
          <w:sz w:val="26"/>
          <w:szCs w:val="26"/>
        </w:rPr>
        <w:t xml:space="preserve"> a fattispecie simili,</w:t>
      </w:r>
      <w:r w:rsidR="008F0138" w:rsidRPr="005A4656">
        <w:rPr>
          <w:rFonts w:ascii="Times New Roman" w:hAnsi="Times New Roman" w:cs="Times New Roman"/>
          <w:sz w:val="26"/>
          <w:szCs w:val="26"/>
        </w:rPr>
        <w:t xml:space="preserve"> in quanto </w:t>
      </w:r>
      <w:r w:rsidR="002C5129">
        <w:rPr>
          <w:rFonts w:ascii="Times New Roman" w:hAnsi="Times New Roman" w:cs="Times New Roman"/>
          <w:sz w:val="26"/>
          <w:szCs w:val="26"/>
        </w:rPr>
        <w:t xml:space="preserve">quest’ultima </w:t>
      </w:r>
      <w:r w:rsidR="00B857EF">
        <w:rPr>
          <w:rFonts w:ascii="Times New Roman" w:hAnsi="Times New Roman" w:cs="Times New Roman"/>
          <w:sz w:val="26"/>
          <w:szCs w:val="26"/>
        </w:rPr>
        <w:t xml:space="preserve">non </w:t>
      </w:r>
      <w:r w:rsidR="008F0138" w:rsidRPr="005A4656">
        <w:rPr>
          <w:rFonts w:ascii="Times New Roman" w:hAnsi="Times New Roman" w:cs="Times New Roman"/>
          <w:sz w:val="26"/>
          <w:szCs w:val="26"/>
        </w:rPr>
        <w:t xml:space="preserve">ha inteso limitare il divieto </w:t>
      </w:r>
      <w:r w:rsidR="002C5129">
        <w:rPr>
          <w:rFonts w:ascii="Times New Roman" w:hAnsi="Times New Roman" w:cs="Times New Roman"/>
          <w:sz w:val="26"/>
          <w:szCs w:val="26"/>
        </w:rPr>
        <w:t>a</w:t>
      </w:r>
      <w:r w:rsidR="008F0138" w:rsidRPr="005A4656">
        <w:rPr>
          <w:rFonts w:ascii="Times New Roman" w:hAnsi="Times New Roman" w:cs="Times New Roman"/>
          <w:sz w:val="26"/>
          <w:szCs w:val="26"/>
        </w:rPr>
        <w:t>i provvedimenti</w:t>
      </w:r>
      <w:r w:rsidR="006A6A81" w:rsidRPr="005A4656">
        <w:rPr>
          <w:rFonts w:ascii="Times New Roman" w:hAnsi="Times New Roman" w:cs="Times New Roman"/>
          <w:sz w:val="26"/>
          <w:szCs w:val="26"/>
        </w:rPr>
        <w:t xml:space="preserve"> indicati</w:t>
      </w:r>
      <w:r w:rsidR="008F0138" w:rsidRPr="005A4656">
        <w:rPr>
          <w:rFonts w:ascii="Times New Roman" w:hAnsi="Times New Roman" w:cs="Times New Roman"/>
          <w:sz w:val="26"/>
          <w:szCs w:val="26"/>
        </w:rPr>
        <w:t xml:space="preserve"> espressamente, ma l’ha esteso ad </w:t>
      </w:r>
      <w:r w:rsidR="008F0138" w:rsidRPr="00B857EF">
        <w:rPr>
          <w:rFonts w:ascii="Times New Roman" w:hAnsi="Times New Roman" w:cs="Times New Roman"/>
          <w:i/>
          <w:sz w:val="26"/>
          <w:szCs w:val="26"/>
        </w:rPr>
        <w:t>altre erogazioni dello stesso tipo</w:t>
      </w:r>
      <w:r w:rsidR="008F0138" w:rsidRPr="005A4656">
        <w:rPr>
          <w:rFonts w:ascii="Times New Roman" w:hAnsi="Times New Roman" w:cs="Times New Roman"/>
          <w:sz w:val="26"/>
          <w:szCs w:val="26"/>
        </w:rPr>
        <w:t xml:space="preserve"> che l’interprete deve </w:t>
      </w:r>
      <w:r w:rsidR="006A6A81" w:rsidRPr="005A4656">
        <w:rPr>
          <w:rFonts w:ascii="Times New Roman" w:hAnsi="Times New Roman" w:cs="Times New Roman"/>
          <w:sz w:val="26"/>
          <w:szCs w:val="26"/>
        </w:rPr>
        <w:t>rinvenire nell’ordinamento</w:t>
      </w:r>
      <w:r w:rsidR="008F0138" w:rsidRPr="005A4656">
        <w:rPr>
          <w:rFonts w:ascii="Times New Roman" w:hAnsi="Times New Roman" w:cs="Times New Roman"/>
          <w:sz w:val="26"/>
          <w:szCs w:val="26"/>
        </w:rPr>
        <w:t xml:space="preserve">; la ricerca non può </w:t>
      </w:r>
      <w:r w:rsidR="006A6A81" w:rsidRPr="005A4656">
        <w:rPr>
          <w:rFonts w:ascii="Times New Roman" w:hAnsi="Times New Roman" w:cs="Times New Roman"/>
          <w:sz w:val="26"/>
          <w:szCs w:val="26"/>
        </w:rPr>
        <w:t xml:space="preserve">che </w:t>
      </w:r>
      <w:r w:rsidR="008F0138" w:rsidRPr="005A4656">
        <w:rPr>
          <w:rFonts w:ascii="Times New Roman" w:hAnsi="Times New Roman" w:cs="Times New Roman"/>
          <w:sz w:val="26"/>
          <w:szCs w:val="26"/>
        </w:rPr>
        <w:t>essere effettuata</w:t>
      </w:r>
      <w:r w:rsidR="006A6A81" w:rsidRPr="005A4656">
        <w:rPr>
          <w:rFonts w:ascii="Times New Roman" w:hAnsi="Times New Roman" w:cs="Times New Roman"/>
          <w:sz w:val="26"/>
          <w:szCs w:val="26"/>
        </w:rPr>
        <w:t xml:space="preserve">, quindi, se non </w:t>
      </w:r>
      <w:r w:rsidR="008F0138" w:rsidRPr="005A4656">
        <w:rPr>
          <w:rFonts w:ascii="Times New Roman" w:hAnsi="Times New Roman" w:cs="Times New Roman"/>
          <w:sz w:val="26"/>
          <w:szCs w:val="26"/>
        </w:rPr>
        <w:t xml:space="preserve">con lo strumento dell’analogia. Sicché emerge spontanea la domanda: sono analoghe le somme richieste a titolo di ‘liberalità’ fondate su atti amministrativi </w:t>
      </w:r>
      <w:r w:rsidR="006A6A81" w:rsidRPr="005A4656">
        <w:rPr>
          <w:rFonts w:ascii="Times New Roman" w:hAnsi="Times New Roman" w:cs="Times New Roman"/>
          <w:sz w:val="26"/>
          <w:szCs w:val="26"/>
        </w:rPr>
        <w:t xml:space="preserve">o in base a peculiari disposizioni di legge </w:t>
      </w:r>
      <w:r w:rsidR="008F0138" w:rsidRPr="005A4656">
        <w:rPr>
          <w:rFonts w:ascii="Times New Roman" w:hAnsi="Times New Roman" w:cs="Times New Roman"/>
          <w:sz w:val="26"/>
          <w:szCs w:val="26"/>
        </w:rPr>
        <w:t xml:space="preserve">rispetto a quelle </w:t>
      </w:r>
      <w:r w:rsidR="006A6A81" w:rsidRPr="005A4656">
        <w:rPr>
          <w:rFonts w:ascii="Times New Roman" w:hAnsi="Times New Roman" w:cs="Times New Roman"/>
          <w:sz w:val="26"/>
          <w:szCs w:val="26"/>
        </w:rPr>
        <w:t xml:space="preserve">forme negoziali </w:t>
      </w:r>
      <w:r w:rsidR="008F0138" w:rsidRPr="005A4656">
        <w:rPr>
          <w:rFonts w:ascii="Times New Roman" w:hAnsi="Times New Roman" w:cs="Times New Roman"/>
          <w:sz w:val="26"/>
          <w:szCs w:val="26"/>
        </w:rPr>
        <w:t xml:space="preserve">che trovano fonte e radice nel codice civile? </w:t>
      </w:r>
    </w:p>
    <w:p w:rsidR="006A6A81" w:rsidRPr="005A4656" w:rsidRDefault="008F0138"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Prima si è risposto negativamente</w:t>
      </w:r>
      <w:r w:rsidR="00FB0503" w:rsidRPr="005A4656">
        <w:rPr>
          <w:rFonts w:ascii="Times New Roman" w:hAnsi="Times New Roman" w:cs="Times New Roman"/>
          <w:sz w:val="26"/>
          <w:szCs w:val="26"/>
        </w:rPr>
        <w:t xml:space="preserve"> (esprime serie perplessità</w:t>
      </w:r>
      <w:r w:rsidR="00B857EF">
        <w:rPr>
          <w:rFonts w:ascii="Times New Roman" w:hAnsi="Times New Roman" w:cs="Times New Roman"/>
          <w:sz w:val="26"/>
          <w:szCs w:val="26"/>
        </w:rPr>
        <w:t>,</w:t>
      </w:r>
      <w:r w:rsidR="00FB0503" w:rsidRPr="005A4656">
        <w:rPr>
          <w:rFonts w:ascii="Times New Roman" w:hAnsi="Times New Roman" w:cs="Times New Roman"/>
          <w:sz w:val="26"/>
          <w:szCs w:val="26"/>
        </w:rPr>
        <w:t xml:space="preserve"> sull</w:t>
      </w:r>
      <w:r w:rsidR="00B857EF">
        <w:rPr>
          <w:rFonts w:ascii="Times New Roman" w:hAnsi="Times New Roman" w:cs="Times New Roman"/>
          <w:sz w:val="26"/>
          <w:szCs w:val="26"/>
        </w:rPr>
        <w:t>’</w:t>
      </w:r>
      <w:r w:rsidR="00FB0503" w:rsidRPr="005A4656">
        <w:rPr>
          <w:rFonts w:ascii="Times New Roman" w:hAnsi="Times New Roman" w:cs="Times New Roman"/>
          <w:sz w:val="26"/>
          <w:szCs w:val="26"/>
        </w:rPr>
        <w:t>equiparazione</w:t>
      </w:r>
      <w:r w:rsidR="00B857EF">
        <w:rPr>
          <w:rFonts w:ascii="Times New Roman" w:hAnsi="Times New Roman" w:cs="Times New Roman"/>
          <w:sz w:val="26"/>
          <w:szCs w:val="26"/>
        </w:rPr>
        <w:t xml:space="preserve"> seguita dall’Adunanza Plenaria, </w:t>
      </w:r>
      <w:r w:rsidR="00FB0503" w:rsidRPr="005A4656">
        <w:rPr>
          <w:rFonts w:ascii="Times New Roman" w:hAnsi="Times New Roman" w:cs="Times New Roman"/>
          <w:sz w:val="26"/>
          <w:szCs w:val="26"/>
        </w:rPr>
        <w:t xml:space="preserve">D’Angelo, che annota per il </w:t>
      </w:r>
      <w:r w:rsidR="00FB0503" w:rsidRPr="005A4656">
        <w:rPr>
          <w:rFonts w:ascii="Times New Roman" w:hAnsi="Times New Roman" w:cs="Times New Roman"/>
          <w:i/>
          <w:sz w:val="26"/>
          <w:szCs w:val="26"/>
        </w:rPr>
        <w:t xml:space="preserve">Foro </w:t>
      </w:r>
      <w:proofErr w:type="spellStart"/>
      <w:r w:rsidR="00FB0503" w:rsidRPr="005A4656">
        <w:rPr>
          <w:rFonts w:ascii="Times New Roman" w:hAnsi="Times New Roman" w:cs="Times New Roman"/>
          <w:i/>
          <w:sz w:val="26"/>
          <w:szCs w:val="26"/>
        </w:rPr>
        <w:t>it</w:t>
      </w:r>
      <w:proofErr w:type="spellEnd"/>
      <w:r w:rsidR="00FB0503" w:rsidRPr="005A4656">
        <w:rPr>
          <w:rFonts w:ascii="Times New Roman" w:hAnsi="Times New Roman" w:cs="Times New Roman"/>
          <w:sz w:val="26"/>
          <w:szCs w:val="26"/>
        </w:rPr>
        <w:t>., 2018</w:t>
      </w:r>
      <w:r w:rsidR="002B394E" w:rsidRPr="005A4656">
        <w:rPr>
          <w:rFonts w:ascii="Times New Roman" w:hAnsi="Times New Roman" w:cs="Times New Roman"/>
          <w:sz w:val="26"/>
          <w:szCs w:val="26"/>
        </w:rPr>
        <w:t>,</w:t>
      </w:r>
      <w:r w:rsidR="00FB0503" w:rsidRPr="005A4656">
        <w:rPr>
          <w:rFonts w:ascii="Times New Roman" w:hAnsi="Times New Roman" w:cs="Times New Roman"/>
          <w:sz w:val="26"/>
          <w:szCs w:val="26"/>
        </w:rPr>
        <w:t xml:space="preserve"> III</w:t>
      </w:r>
      <w:r w:rsidR="002B394E" w:rsidRPr="005A4656">
        <w:rPr>
          <w:rFonts w:ascii="Times New Roman" w:hAnsi="Times New Roman" w:cs="Times New Roman"/>
          <w:sz w:val="26"/>
          <w:szCs w:val="26"/>
        </w:rPr>
        <w:t>,</w:t>
      </w:r>
      <w:r w:rsidR="00FB0503" w:rsidRPr="005A4656">
        <w:rPr>
          <w:rFonts w:ascii="Times New Roman" w:hAnsi="Times New Roman" w:cs="Times New Roman"/>
          <w:sz w:val="26"/>
          <w:szCs w:val="26"/>
        </w:rPr>
        <w:t xml:space="preserve"> 323, la decisione in esame</w:t>
      </w:r>
      <w:r w:rsidR="002B394E" w:rsidRPr="005A4656">
        <w:rPr>
          <w:rFonts w:ascii="Times New Roman" w:hAnsi="Times New Roman" w:cs="Times New Roman"/>
          <w:sz w:val="26"/>
          <w:szCs w:val="26"/>
        </w:rPr>
        <w:t>, per il quale “</w:t>
      </w:r>
      <w:r w:rsidR="002B394E" w:rsidRPr="005A4656">
        <w:rPr>
          <w:rFonts w:ascii="Times New Roman" w:hAnsi="Times New Roman" w:cs="Times New Roman"/>
          <w:i/>
          <w:sz w:val="26"/>
          <w:szCs w:val="26"/>
        </w:rPr>
        <w:t>la distanza tra erogazioni, ancorché di carattere indennitario, a sostegno del</w:t>
      </w:r>
      <w:r w:rsidR="004D71AE" w:rsidRPr="005A4656">
        <w:rPr>
          <w:rFonts w:ascii="Times New Roman" w:hAnsi="Times New Roman" w:cs="Times New Roman"/>
          <w:i/>
          <w:sz w:val="26"/>
          <w:szCs w:val="26"/>
        </w:rPr>
        <w:t>l</w:t>
      </w:r>
      <w:r w:rsidR="002B394E" w:rsidRPr="005A4656">
        <w:rPr>
          <w:rFonts w:ascii="Times New Roman" w:hAnsi="Times New Roman" w:cs="Times New Roman"/>
          <w:i/>
          <w:sz w:val="26"/>
          <w:szCs w:val="26"/>
        </w:rPr>
        <w:t>’attività di impresa e somme dovute dalla pubblica amministrazione</w:t>
      </w:r>
      <w:r w:rsidR="004D71AE" w:rsidRPr="005A4656">
        <w:rPr>
          <w:rFonts w:ascii="Times New Roman" w:hAnsi="Times New Roman" w:cs="Times New Roman"/>
          <w:i/>
          <w:sz w:val="26"/>
          <w:szCs w:val="26"/>
        </w:rPr>
        <w:t xml:space="preserve"> a titolo di risarcimento del danno appare incolmabile in via interpretativa</w:t>
      </w:r>
      <w:r w:rsidR="004D71AE" w:rsidRPr="005A4656">
        <w:rPr>
          <w:rFonts w:ascii="Times New Roman" w:hAnsi="Times New Roman" w:cs="Times New Roman"/>
          <w:sz w:val="26"/>
          <w:szCs w:val="26"/>
        </w:rPr>
        <w:t>”</w:t>
      </w:r>
      <w:r w:rsidR="00FB0503" w:rsidRPr="005A4656">
        <w:rPr>
          <w:rFonts w:ascii="Times New Roman" w:hAnsi="Times New Roman" w:cs="Times New Roman"/>
          <w:sz w:val="26"/>
          <w:szCs w:val="26"/>
        </w:rPr>
        <w:t>)</w:t>
      </w:r>
      <w:r w:rsidRPr="005A4656">
        <w:rPr>
          <w:rFonts w:ascii="Times New Roman" w:hAnsi="Times New Roman" w:cs="Times New Roman"/>
          <w:sz w:val="26"/>
          <w:szCs w:val="26"/>
        </w:rPr>
        <w:t xml:space="preserve">. </w:t>
      </w:r>
    </w:p>
    <w:p w:rsidR="00FB19A5" w:rsidRPr="005A4656" w:rsidRDefault="008F0138"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 xml:space="preserve">Inoltre, il comma 2 dell’art. 12 delle </w:t>
      </w:r>
      <w:proofErr w:type="spellStart"/>
      <w:r w:rsidRPr="005A4656">
        <w:rPr>
          <w:rFonts w:ascii="Times New Roman" w:hAnsi="Times New Roman" w:cs="Times New Roman"/>
          <w:sz w:val="26"/>
          <w:szCs w:val="26"/>
        </w:rPr>
        <w:t>disp</w:t>
      </w:r>
      <w:proofErr w:type="spellEnd"/>
      <w:r w:rsidRPr="005A4656">
        <w:rPr>
          <w:rFonts w:ascii="Times New Roman" w:hAnsi="Times New Roman" w:cs="Times New Roman"/>
          <w:sz w:val="26"/>
          <w:szCs w:val="26"/>
        </w:rPr>
        <w:t xml:space="preserve">. </w:t>
      </w:r>
      <w:proofErr w:type="spellStart"/>
      <w:r w:rsidRPr="005A4656">
        <w:rPr>
          <w:rFonts w:ascii="Times New Roman" w:hAnsi="Times New Roman" w:cs="Times New Roman"/>
          <w:sz w:val="26"/>
          <w:szCs w:val="26"/>
        </w:rPr>
        <w:t>prelim</w:t>
      </w:r>
      <w:proofErr w:type="spellEnd"/>
      <w:r w:rsidRPr="005A4656">
        <w:rPr>
          <w:rFonts w:ascii="Times New Roman" w:hAnsi="Times New Roman" w:cs="Times New Roman"/>
          <w:sz w:val="26"/>
          <w:szCs w:val="26"/>
        </w:rPr>
        <w:t>. consente il ricorso all’analogia (quindi</w:t>
      </w:r>
      <w:r w:rsidR="006A6A81" w:rsidRPr="005A4656">
        <w:rPr>
          <w:rFonts w:ascii="Times New Roman" w:hAnsi="Times New Roman" w:cs="Times New Roman"/>
          <w:sz w:val="26"/>
          <w:szCs w:val="26"/>
        </w:rPr>
        <w:t>, mediante</w:t>
      </w:r>
      <w:r w:rsidRPr="005A4656">
        <w:rPr>
          <w:rFonts w:ascii="Times New Roman" w:hAnsi="Times New Roman" w:cs="Times New Roman"/>
          <w:sz w:val="26"/>
          <w:szCs w:val="26"/>
        </w:rPr>
        <w:t xml:space="preserve"> un’interpretazione estensiva) </w:t>
      </w:r>
      <w:r w:rsidR="00B857EF">
        <w:rPr>
          <w:rFonts w:ascii="Times New Roman" w:hAnsi="Times New Roman" w:cs="Times New Roman"/>
          <w:sz w:val="26"/>
          <w:szCs w:val="26"/>
        </w:rPr>
        <w:t xml:space="preserve">esclusivamente ai casi in cui </w:t>
      </w:r>
      <w:r w:rsidRPr="005A4656">
        <w:rPr>
          <w:rFonts w:ascii="Times New Roman" w:hAnsi="Times New Roman" w:cs="Times New Roman"/>
          <w:sz w:val="26"/>
          <w:szCs w:val="26"/>
        </w:rPr>
        <w:t>“</w:t>
      </w:r>
      <w:r w:rsidRPr="005A4656">
        <w:rPr>
          <w:rFonts w:ascii="Times New Roman" w:hAnsi="Times New Roman" w:cs="Times New Roman"/>
          <w:i/>
          <w:sz w:val="26"/>
          <w:szCs w:val="26"/>
        </w:rPr>
        <w:t>una controversia non può essere decisa con una precisa disposizione</w:t>
      </w:r>
      <w:r w:rsidRPr="005A4656">
        <w:rPr>
          <w:rFonts w:ascii="Times New Roman" w:hAnsi="Times New Roman" w:cs="Times New Roman"/>
          <w:sz w:val="26"/>
          <w:szCs w:val="26"/>
        </w:rPr>
        <w:t>”</w:t>
      </w:r>
      <w:r w:rsidR="006A6A81" w:rsidRPr="005A4656">
        <w:rPr>
          <w:rFonts w:ascii="Times New Roman" w:hAnsi="Times New Roman" w:cs="Times New Roman"/>
          <w:sz w:val="26"/>
          <w:szCs w:val="26"/>
        </w:rPr>
        <w:t>,</w:t>
      </w:r>
      <w:r w:rsidRPr="005A4656">
        <w:rPr>
          <w:rFonts w:ascii="Times New Roman" w:hAnsi="Times New Roman" w:cs="Times New Roman"/>
          <w:sz w:val="26"/>
          <w:szCs w:val="26"/>
        </w:rPr>
        <w:t xml:space="preserve"> avendosi “</w:t>
      </w:r>
      <w:r w:rsidRPr="005A4656">
        <w:rPr>
          <w:rFonts w:ascii="Times New Roman" w:hAnsi="Times New Roman" w:cs="Times New Roman"/>
          <w:i/>
          <w:sz w:val="26"/>
          <w:szCs w:val="26"/>
        </w:rPr>
        <w:t>riguardo alle disposizioni che regolano casi simili o materie analoghe</w:t>
      </w:r>
      <w:r w:rsidRPr="005A4656">
        <w:rPr>
          <w:rFonts w:ascii="Times New Roman" w:hAnsi="Times New Roman" w:cs="Times New Roman"/>
          <w:sz w:val="26"/>
          <w:szCs w:val="26"/>
        </w:rPr>
        <w:t>.” Il ricorso all’analogia è consentito,</w:t>
      </w:r>
      <w:r w:rsidR="006A6A81" w:rsidRPr="005A4656">
        <w:rPr>
          <w:rFonts w:ascii="Times New Roman" w:hAnsi="Times New Roman" w:cs="Times New Roman"/>
          <w:sz w:val="26"/>
          <w:szCs w:val="26"/>
        </w:rPr>
        <w:t xml:space="preserve"> perciò</w:t>
      </w:r>
      <w:r w:rsidRPr="005A4656">
        <w:rPr>
          <w:rFonts w:ascii="Times New Roman" w:hAnsi="Times New Roman" w:cs="Times New Roman"/>
          <w:sz w:val="26"/>
          <w:szCs w:val="26"/>
        </w:rPr>
        <w:t xml:space="preserve">, solo </w:t>
      </w:r>
      <w:r w:rsidR="006A6A81" w:rsidRPr="005A4656">
        <w:rPr>
          <w:rFonts w:ascii="Times New Roman" w:hAnsi="Times New Roman" w:cs="Times New Roman"/>
          <w:sz w:val="26"/>
          <w:szCs w:val="26"/>
        </w:rPr>
        <w:t>allor</w:t>
      </w:r>
      <w:r w:rsidRPr="005A4656">
        <w:rPr>
          <w:rFonts w:ascii="Times New Roman" w:hAnsi="Times New Roman" w:cs="Times New Roman"/>
          <w:sz w:val="26"/>
          <w:szCs w:val="26"/>
        </w:rPr>
        <w:t>quando manchi una specifica disposizione nell’ordin</w:t>
      </w:r>
      <w:r w:rsidR="00F340D0" w:rsidRPr="005A4656">
        <w:rPr>
          <w:rFonts w:ascii="Times New Roman" w:hAnsi="Times New Roman" w:cs="Times New Roman"/>
          <w:sz w:val="26"/>
          <w:szCs w:val="26"/>
        </w:rPr>
        <w:t>a</w:t>
      </w:r>
      <w:r w:rsidRPr="005A4656">
        <w:rPr>
          <w:rFonts w:ascii="Times New Roman" w:hAnsi="Times New Roman" w:cs="Times New Roman"/>
          <w:sz w:val="26"/>
          <w:szCs w:val="26"/>
        </w:rPr>
        <w:t xml:space="preserve">mento regolante la fattispecie concreta e si renda </w:t>
      </w:r>
      <w:r w:rsidR="006A6A81" w:rsidRPr="005A4656">
        <w:rPr>
          <w:rFonts w:ascii="Times New Roman" w:hAnsi="Times New Roman" w:cs="Times New Roman"/>
          <w:sz w:val="26"/>
          <w:szCs w:val="26"/>
        </w:rPr>
        <w:t xml:space="preserve">conseguentemente </w:t>
      </w:r>
      <w:r w:rsidRPr="005A4656">
        <w:rPr>
          <w:rFonts w:ascii="Times New Roman" w:hAnsi="Times New Roman" w:cs="Times New Roman"/>
          <w:sz w:val="26"/>
          <w:szCs w:val="26"/>
        </w:rPr>
        <w:t>necessario porre rimedio ad un vuoto normativo altrimenti incolmabile in sede giudiziaria</w:t>
      </w:r>
      <w:r w:rsidR="00F340D0" w:rsidRPr="005A4656">
        <w:rPr>
          <w:rFonts w:ascii="Times New Roman" w:hAnsi="Times New Roman" w:cs="Times New Roman"/>
          <w:sz w:val="26"/>
          <w:szCs w:val="26"/>
        </w:rPr>
        <w:t>. Orbene,</w:t>
      </w:r>
      <w:r w:rsidR="006A6A81" w:rsidRPr="005A4656">
        <w:rPr>
          <w:rFonts w:ascii="Times New Roman" w:hAnsi="Times New Roman" w:cs="Times New Roman"/>
          <w:sz w:val="26"/>
          <w:szCs w:val="26"/>
        </w:rPr>
        <w:t xml:space="preserve"> anche in questa occasione ci si dovrebbe domandare se</w:t>
      </w:r>
      <w:r w:rsidR="00F340D0" w:rsidRPr="005A4656">
        <w:rPr>
          <w:rFonts w:ascii="Times New Roman" w:hAnsi="Times New Roman" w:cs="Times New Roman"/>
          <w:sz w:val="26"/>
          <w:szCs w:val="26"/>
        </w:rPr>
        <w:t xml:space="preserve"> rispondono alle medesime finalità le norme codicistiche (di rispetto delle obbligazioni assunte in sede contrattuale o degli </w:t>
      </w:r>
      <w:r w:rsidR="00F340D0" w:rsidRPr="005A4656">
        <w:rPr>
          <w:rFonts w:ascii="Times New Roman" w:hAnsi="Times New Roman" w:cs="Times New Roman"/>
          <w:sz w:val="26"/>
          <w:szCs w:val="26"/>
        </w:rPr>
        <w:lastRenderedPageBreak/>
        <w:t>obblighi tipici de</w:t>
      </w:r>
      <w:r w:rsidR="006A6A81" w:rsidRPr="005A4656">
        <w:rPr>
          <w:rFonts w:ascii="Times New Roman" w:hAnsi="Times New Roman" w:cs="Times New Roman"/>
          <w:sz w:val="26"/>
          <w:szCs w:val="26"/>
        </w:rPr>
        <w:t>rivanti da</w:t>
      </w:r>
      <w:r w:rsidR="00F340D0" w:rsidRPr="005A4656">
        <w:rPr>
          <w:rFonts w:ascii="Times New Roman" w:hAnsi="Times New Roman" w:cs="Times New Roman"/>
          <w:sz w:val="26"/>
          <w:szCs w:val="26"/>
        </w:rPr>
        <w:t xml:space="preserve">ll’illecito extracontrattuale) </w:t>
      </w:r>
      <w:r w:rsidR="006A6A81" w:rsidRPr="005A4656">
        <w:rPr>
          <w:rFonts w:ascii="Times New Roman" w:hAnsi="Times New Roman" w:cs="Times New Roman"/>
          <w:sz w:val="26"/>
          <w:szCs w:val="26"/>
        </w:rPr>
        <w:t>ed</w:t>
      </w:r>
      <w:r w:rsidR="00F340D0" w:rsidRPr="005A4656">
        <w:rPr>
          <w:rFonts w:ascii="Times New Roman" w:hAnsi="Times New Roman" w:cs="Times New Roman"/>
          <w:sz w:val="26"/>
          <w:szCs w:val="26"/>
        </w:rPr>
        <w:t xml:space="preserve"> i contributi, i finanziamenti, le provvidenze </w:t>
      </w:r>
      <w:r w:rsidR="006A6A81" w:rsidRPr="005A4656">
        <w:rPr>
          <w:rFonts w:ascii="Times New Roman" w:hAnsi="Times New Roman" w:cs="Times New Roman"/>
          <w:sz w:val="26"/>
          <w:szCs w:val="26"/>
        </w:rPr>
        <w:t xml:space="preserve">in genere </w:t>
      </w:r>
      <w:r w:rsidR="00F340D0" w:rsidRPr="005A4656">
        <w:rPr>
          <w:rFonts w:ascii="Times New Roman" w:hAnsi="Times New Roman" w:cs="Times New Roman"/>
          <w:sz w:val="26"/>
          <w:szCs w:val="26"/>
        </w:rPr>
        <w:t>che l’ordinamento introduce per favorire lo sviluppo economico del Paese o difendere determinate categorie di operatori economici ‘deboli’</w:t>
      </w:r>
      <w:r w:rsidR="006A6A81" w:rsidRPr="005A4656">
        <w:rPr>
          <w:rFonts w:ascii="Times New Roman" w:hAnsi="Times New Roman" w:cs="Times New Roman"/>
          <w:sz w:val="26"/>
          <w:szCs w:val="26"/>
        </w:rPr>
        <w:t>.</w:t>
      </w:r>
      <w:r w:rsidR="00F340D0" w:rsidRPr="005A4656">
        <w:rPr>
          <w:rFonts w:ascii="Times New Roman" w:hAnsi="Times New Roman" w:cs="Times New Roman"/>
          <w:sz w:val="26"/>
          <w:szCs w:val="26"/>
        </w:rPr>
        <w:t xml:space="preserve"> </w:t>
      </w:r>
      <w:r w:rsidRPr="005A4656">
        <w:rPr>
          <w:rFonts w:ascii="Times New Roman" w:hAnsi="Times New Roman" w:cs="Times New Roman"/>
          <w:sz w:val="26"/>
          <w:szCs w:val="26"/>
        </w:rPr>
        <w:t xml:space="preserve">   </w:t>
      </w:r>
    </w:p>
    <w:p w:rsidR="00D012CF" w:rsidRPr="005A4656" w:rsidRDefault="00FB19A5"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 xml:space="preserve"> </w:t>
      </w:r>
      <w:r w:rsidR="00F340D0" w:rsidRPr="005A4656">
        <w:rPr>
          <w:rFonts w:ascii="Times New Roman" w:hAnsi="Times New Roman" w:cs="Times New Roman"/>
          <w:b/>
          <w:sz w:val="26"/>
          <w:szCs w:val="26"/>
        </w:rPr>
        <w:t>6</w:t>
      </w:r>
      <w:r w:rsidRPr="005A4656">
        <w:rPr>
          <w:rFonts w:ascii="Times New Roman" w:hAnsi="Times New Roman" w:cs="Times New Roman"/>
          <w:b/>
          <w:sz w:val="26"/>
          <w:szCs w:val="26"/>
        </w:rPr>
        <w:t>.3.</w:t>
      </w:r>
      <w:r w:rsidRPr="005A4656">
        <w:rPr>
          <w:rFonts w:ascii="Times New Roman" w:hAnsi="Times New Roman" w:cs="Times New Roman"/>
          <w:sz w:val="26"/>
          <w:szCs w:val="26"/>
        </w:rPr>
        <w:t xml:space="preserve"> </w:t>
      </w:r>
      <w:r w:rsidR="00253499" w:rsidRPr="005A4656">
        <w:rPr>
          <w:rFonts w:ascii="Times New Roman" w:hAnsi="Times New Roman" w:cs="Times New Roman"/>
          <w:sz w:val="26"/>
          <w:szCs w:val="26"/>
        </w:rPr>
        <w:t>L’articolo 12 riportato</w:t>
      </w:r>
      <w:r w:rsidR="0099072A" w:rsidRPr="005A4656">
        <w:rPr>
          <w:rFonts w:ascii="Times New Roman" w:hAnsi="Times New Roman" w:cs="Times New Roman"/>
          <w:sz w:val="26"/>
          <w:szCs w:val="26"/>
        </w:rPr>
        <w:t xml:space="preserve"> non</w:t>
      </w:r>
      <w:r w:rsidR="00253499" w:rsidRPr="005A4656">
        <w:rPr>
          <w:rFonts w:ascii="Times New Roman" w:hAnsi="Times New Roman" w:cs="Times New Roman"/>
          <w:sz w:val="26"/>
          <w:szCs w:val="26"/>
        </w:rPr>
        <w:t xml:space="preserve"> va</w:t>
      </w:r>
      <w:r w:rsidR="00B857EF">
        <w:rPr>
          <w:rFonts w:ascii="Times New Roman" w:hAnsi="Times New Roman" w:cs="Times New Roman"/>
          <w:sz w:val="26"/>
          <w:szCs w:val="26"/>
        </w:rPr>
        <w:t>, infine,</w:t>
      </w:r>
      <w:r w:rsidR="0099072A" w:rsidRPr="005A4656">
        <w:rPr>
          <w:rFonts w:ascii="Times New Roman" w:hAnsi="Times New Roman" w:cs="Times New Roman"/>
          <w:sz w:val="26"/>
          <w:szCs w:val="26"/>
        </w:rPr>
        <w:t xml:space="preserve"> disgiunto dal successivo art. 13, secondo cui </w:t>
      </w:r>
      <w:r w:rsidR="00B857EF">
        <w:rPr>
          <w:rFonts w:ascii="Times New Roman" w:hAnsi="Times New Roman" w:cs="Times New Roman"/>
          <w:sz w:val="26"/>
          <w:szCs w:val="26"/>
        </w:rPr>
        <w:t>«</w:t>
      </w:r>
      <w:r w:rsidR="0099072A" w:rsidRPr="005A4656">
        <w:rPr>
          <w:rFonts w:ascii="Times New Roman" w:hAnsi="Times New Roman" w:cs="Times New Roman"/>
          <w:i/>
          <w:sz w:val="26"/>
          <w:szCs w:val="26"/>
        </w:rPr>
        <w:t>Le leggi penali e quelle che fanno eccezione a regole generali o ad altre leggi non si applicano oltre i casi e i tempi in esse considerati</w:t>
      </w:r>
      <w:r w:rsidR="00B857EF">
        <w:rPr>
          <w:rFonts w:ascii="Times New Roman" w:hAnsi="Times New Roman" w:cs="Times New Roman"/>
          <w:i/>
          <w:sz w:val="26"/>
          <w:szCs w:val="26"/>
        </w:rPr>
        <w:t>»</w:t>
      </w:r>
      <w:r w:rsidR="0099072A" w:rsidRPr="005A4656">
        <w:rPr>
          <w:rFonts w:ascii="Times New Roman" w:hAnsi="Times New Roman" w:cs="Times New Roman"/>
          <w:sz w:val="26"/>
          <w:szCs w:val="26"/>
        </w:rPr>
        <w:t xml:space="preserve">. Qui non par dubbio che </w:t>
      </w:r>
      <w:r w:rsidR="005A4656" w:rsidRPr="005A4656">
        <w:rPr>
          <w:rFonts w:ascii="Times New Roman" w:hAnsi="Times New Roman" w:cs="Times New Roman"/>
          <w:sz w:val="26"/>
          <w:szCs w:val="26"/>
        </w:rPr>
        <w:t xml:space="preserve">nella vicenda trattata dalla Plenaria </w:t>
      </w:r>
      <w:r w:rsidR="0099072A" w:rsidRPr="005A4656">
        <w:rPr>
          <w:rFonts w:ascii="Times New Roman" w:hAnsi="Times New Roman" w:cs="Times New Roman"/>
          <w:sz w:val="26"/>
          <w:szCs w:val="26"/>
        </w:rPr>
        <w:t>si s</w:t>
      </w:r>
      <w:r w:rsidR="005A4656" w:rsidRPr="005A4656">
        <w:rPr>
          <w:rFonts w:ascii="Times New Roman" w:hAnsi="Times New Roman" w:cs="Times New Roman"/>
          <w:sz w:val="26"/>
          <w:szCs w:val="26"/>
        </w:rPr>
        <w:t>i</w:t>
      </w:r>
      <w:r w:rsidR="0099072A" w:rsidRPr="005A4656">
        <w:rPr>
          <w:rFonts w:ascii="Times New Roman" w:hAnsi="Times New Roman" w:cs="Times New Roman"/>
          <w:sz w:val="26"/>
          <w:szCs w:val="26"/>
        </w:rPr>
        <w:t>a discetta</w:t>
      </w:r>
      <w:r w:rsidR="005A4656" w:rsidRPr="005A4656">
        <w:rPr>
          <w:rFonts w:ascii="Times New Roman" w:hAnsi="Times New Roman" w:cs="Times New Roman"/>
          <w:sz w:val="26"/>
          <w:szCs w:val="26"/>
        </w:rPr>
        <w:t>t</w:t>
      </w:r>
      <w:r w:rsidR="0099072A" w:rsidRPr="005A4656">
        <w:rPr>
          <w:rFonts w:ascii="Times New Roman" w:hAnsi="Times New Roman" w:cs="Times New Roman"/>
          <w:sz w:val="26"/>
          <w:szCs w:val="26"/>
        </w:rPr>
        <w:t>o di leggi eccezionali (di contenuto para</w:t>
      </w:r>
      <w:r w:rsidR="004F57AA" w:rsidRPr="005A4656">
        <w:rPr>
          <w:rFonts w:ascii="Times New Roman" w:hAnsi="Times New Roman" w:cs="Times New Roman"/>
          <w:sz w:val="26"/>
          <w:szCs w:val="26"/>
        </w:rPr>
        <w:t>-</w:t>
      </w:r>
      <w:r w:rsidR="0099072A" w:rsidRPr="005A4656">
        <w:rPr>
          <w:rFonts w:ascii="Times New Roman" w:hAnsi="Times New Roman" w:cs="Times New Roman"/>
          <w:sz w:val="26"/>
          <w:szCs w:val="26"/>
        </w:rPr>
        <w:t>penalistico)</w:t>
      </w:r>
      <w:r w:rsidR="00253499" w:rsidRPr="005A4656">
        <w:rPr>
          <w:rFonts w:ascii="Times New Roman" w:hAnsi="Times New Roman" w:cs="Times New Roman"/>
          <w:sz w:val="26"/>
          <w:szCs w:val="26"/>
        </w:rPr>
        <w:t xml:space="preserve">, limitative della capacità giuridica, come </w:t>
      </w:r>
      <w:r w:rsidR="00B857EF">
        <w:rPr>
          <w:rFonts w:ascii="Times New Roman" w:hAnsi="Times New Roman" w:cs="Times New Roman"/>
          <w:sz w:val="26"/>
          <w:szCs w:val="26"/>
        </w:rPr>
        <w:t xml:space="preserve">efficacemente </w:t>
      </w:r>
      <w:r w:rsidR="005A4656" w:rsidRPr="005A4656">
        <w:rPr>
          <w:rFonts w:ascii="Times New Roman" w:hAnsi="Times New Roman" w:cs="Times New Roman"/>
          <w:sz w:val="26"/>
          <w:szCs w:val="26"/>
        </w:rPr>
        <w:t xml:space="preserve">puntualizza la medesima </w:t>
      </w:r>
      <w:r w:rsidR="00253499" w:rsidRPr="005A4656">
        <w:rPr>
          <w:rFonts w:ascii="Times New Roman" w:hAnsi="Times New Roman" w:cs="Times New Roman"/>
          <w:sz w:val="26"/>
          <w:szCs w:val="26"/>
        </w:rPr>
        <w:t>Plenaria</w:t>
      </w:r>
      <w:r w:rsidR="0099072A" w:rsidRPr="005A4656">
        <w:rPr>
          <w:rFonts w:ascii="Times New Roman" w:hAnsi="Times New Roman" w:cs="Times New Roman"/>
          <w:sz w:val="26"/>
          <w:szCs w:val="26"/>
        </w:rPr>
        <w:t xml:space="preserve">.  </w:t>
      </w:r>
    </w:p>
    <w:p w:rsidR="005A4656" w:rsidRPr="005A4656" w:rsidRDefault="005A4656"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Ebbene, i</w:t>
      </w:r>
      <w:r w:rsidR="00376C9E" w:rsidRPr="005A4656">
        <w:rPr>
          <w:rFonts w:ascii="Times New Roman" w:hAnsi="Times New Roman" w:cs="Times New Roman"/>
          <w:sz w:val="26"/>
          <w:szCs w:val="26"/>
        </w:rPr>
        <w:t xml:space="preserve">l rischio che si corre </w:t>
      </w:r>
      <w:r w:rsidR="00B857EF">
        <w:rPr>
          <w:rFonts w:ascii="Times New Roman" w:hAnsi="Times New Roman" w:cs="Times New Roman"/>
          <w:sz w:val="26"/>
          <w:szCs w:val="26"/>
        </w:rPr>
        <w:t xml:space="preserve">qualora il giudice decidesse di </w:t>
      </w:r>
      <w:r w:rsidRPr="005A4656">
        <w:rPr>
          <w:rFonts w:ascii="Times New Roman" w:hAnsi="Times New Roman" w:cs="Times New Roman"/>
          <w:sz w:val="26"/>
          <w:szCs w:val="26"/>
        </w:rPr>
        <w:t>attiva</w:t>
      </w:r>
      <w:r w:rsidR="00B857EF">
        <w:rPr>
          <w:rFonts w:ascii="Times New Roman" w:hAnsi="Times New Roman" w:cs="Times New Roman"/>
          <w:sz w:val="26"/>
          <w:szCs w:val="26"/>
        </w:rPr>
        <w:t>re</w:t>
      </w:r>
      <w:r w:rsidRPr="005A4656">
        <w:rPr>
          <w:rFonts w:ascii="Times New Roman" w:hAnsi="Times New Roman" w:cs="Times New Roman"/>
          <w:sz w:val="26"/>
          <w:szCs w:val="26"/>
        </w:rPr>
        <w:t xml:space="preserve"> il criterio</w:t>
      </w:r>
      <w:r w:rsidR="00376C9E" w:rsidRPr="005A4656">
        <w:rPr>
          <w:rFonts w:ascii="Times New Roman" w:hAnsi="Times New Roman" w:cs="Times New Roman"/>
          <w:sz w:val="26"/>
          <w:szCs w:val="26"/>
        </w:rPr>
        <w:t xml:space="preserve"> d</w:t>
      </w:r>
      <w:r w:rsidRPr="005A4656">
        <w:rPr>
          <w:rFonts w:ascii="Times New Roman" w:hAnsi="Times New Roman" w:cs="Times New Roman"/>
          <w:sz w:val="26"/>
          <w:szCs w:val="26"/>
        </w:rPr>
        <w:t>ell’</w:t>
      </w:r>
      <w:r w:rsidR="00376C9E" w:rsidRPr="005A4656">
        <w:rPr>
          <w:rFonts w:ascii="Times New Roman" w:hAnsi="Times New Roman" w:cs="Times New Roman"/>
          <w:sz w:val="26"/>
          <w:szCs w:val="26"/>
        </w:rPr>
        <w:t>interpretazione evolutiva o logico</w:t>
      </w:r>
      <w:r w:rsidRPr="005A4656">
        <w:rPr>
          <w:rFonts w:ascii="Times New Roman" w:hAnsi="Times New Roman" w:cs="Times New Roman"/>
          <w:sz w:val="26"/>
          <w:szCs w:val="26"/>
        </w:rPr>
        <w:t>-</w:t>
      </w:r>
      <w:r w:rsidR="00376C9E" w:rsidRPr="005A4656">
        <w:rPr>
          <w:rFonts w:ascii="Times New Roman" w:hAnsi="Times New Roman" w:cs="Times New Roman"/>
          <w:sz w:val="26"/>
          <w:szCs w:val="26"/>
        </w:rPr>
        <w:t>sistematica</w:t>
      </w:r>
      <w:r w:rsidR="00B857EF">
        <w:rPr>
          <w:rFonts w:ascii="Times New Roman" w:hAnsi="Times New Roman" w:cs="Times New Roman"/>
          <w:sz w:val="26"/>
          <w:szCs w:val="26"/>
        </w:rPr>
        <w:t xml:space="preserve"> in luogo di quella letterale</w:t>
      </w:r>
      <w:r w:rsidR="004F57AA" w:rsidRPr="005A4656">
        <w:rPr>
          <w:rFonts w:ascii="Times New Roman" w:hAnsi="Times New Roman" w:cs="Times New Roman"/>
          <w:sz w:val="26"/>
          <w:szCs w:val="26"/>
        </w:rPr>
        <w:t xml:space="preserve"> </w:t>
      </w:r>
      <w:r w:rsidRPr="005A4656">
        <w:rPr>
          <w:rFonts w:ascii="Times New Roman" w:hAnsi="Times New Roman" w:cs="Times New Roman"/>
          <w:sz w:val="26"/>
          <w:szCs w:val="26"/>
        </w:rPr>
        <w:t>potrebbe consistere</w:t>
      </w:r>
      <w:r w:rsidR="00376C9E" w:rsidRPr="005A4656">
        <w:rPr>
          <w:rFonts w:ascii="Times New Roman" w:hAnsi="Times New Roman" w:cs="Times New Roman"/>
          <w:sz w:val="26"/>
          <w:szCs w:val="26"/>
        </w:rPr>
        <w:t xml:space="preserve"> nella proliferazione di leggi di interpretazione </w:t>
      </w:r>
      <w:r w:rsidRPr="005A4656">
        <w:rPr>
          <w:rFonts w:ascii="Times New Roman" w:hAnsi="Times New Roman" w:cs="Times New Roman"/>
          <w:sz w:val="26"/>
          <w:szCs w:val="26"/>
        </w:rPr>
        <w:t xml:space="preserve">autentiche </w:t>
      </w:r>
      <w:r w:rsidR="00376C9E" w:rsidRPr="005A4656">
        <w:rPr>
          <w:rFonts w:ascii="Times New Roman" w:hAnsi="Times New Roman" w:cs="Times New Roman"/>
          <w:sz w:val="26"/>
          <w:szCs w:val="26"/>
        </w:rPr>
        <w:t>della norma che, pur essendo nella sua primitiva formulazione chiara, v</w:t>
      </w:r>
      <w:r w:rsidR="00B857EF">
        <w:rPr>
          <w:rFonts w:ascii="Times New Roman" w:hAnsi="Times New Roman" w:cs="Times New Roman"/>
          <w:sz w:val="26"/>
          <w:szCs w:val="26"/>
        </w:rPr>
        <w:t>iene</w:t>
      </w:r>
      <w:r w:rsidR="00376C9E" w:rsidRPr="005A4656">
        <w:rPr>
          <w:rFonts w:ascii="Times New Roman" w:hAnsi="Times New Roman" w:cs="Times New Roman"/>
          <w:sz w:val="26"/>
          <w:szCs w:val="26"/>
        </w:rPr>
        <w:t xml:space="preserve"> ricostruita in sede interpretativa in maniera difforme da quanto </w:t>
      </w:r>
      <w:r w:rsidRPr="005A4656">
        <w:rPr>
          <w:rFonts w:ascii="Times New Roman" w:hAnsi="Times New Roman" w:cs="Times New Roman"/>
          <w:sz w:val="26"/>
          <w:szCs w:val="26"/>
        </w:rPr>
        <w:t xml:space="preserve">in origine </w:t>
      </w:r>
      <w:r w:rsidR="00376C9E" w:rsidRPr="005A4656">
        <w:rPr>
          <w:rFonts w:ascii="Times New Roman" w:hAnsi="Times New Roman" w:cs="Times New Roman"/>
          <w:sz w:val="26"/>
          <w:szCs w:val="26"/>
        </w:rPr>
        <w:t xml:space="preserve">enunciato dal legislatore, </w:t>
      </w:r>
      <w:r w:rsidRPr="005A4656">
        <w:rPr>
          <w:rFonts w:ascii="Times New Roman" w:hAnsi="Times New Roman" w:cs="Times New Roman"/>
          <w:sz w:val="26"/>
          <w:szCs w:val="26"/>
        </w:rPr>
        <w:t>il quale si sente costretto ad intervenire perché</w:t>
      </w:r>
      <w:r w:rsidR="00376C9E" w:rsidRPr="005A4656">
        <w:rPr>
          <w:rFonts w:ascii="Times New Roman" w:hAnsi="Times New Roman" w:cs="Times New Roman"/>
          <w:sz w:val="26"/>
          <w:szCs w:val="26"/>
        </w:rPr>
        <w:t xml:space="preserve"> vede traditi i fini perseguiti con la produzione della</w:t>
      </w:r>
      <w:r w:rsidRPr="005A4656">
        <w:rPr>
          <w:rFonts w:ascii="Times New Roman" w:hAnsi="Times New Roman" w:cs="Times New Roman"/>
          <w:sz w:val="26"/>
          <w:szCs w:val="26"/>
        </w:rPr>
        <w:t xml:space="preserve"> propria</w:t>
      </w:r>
      <w:r w:rsidR="00376C9E" w:rsidRPr="005A4656">
        <w:rPr>
          <w:rFonts w:ascii="Times New Roman" w:hAnsi="Times New Roman" w:cs="Times New Roman"/>
          <w:sz w:val="26"/>
          <w:szCs w:val="26"/>
        </w:rPr>
        <w:t xml:space="preserve"> legge. </w:t>
      </w:r>
    </w:p>
    <w:p w:rsidR="00AC4B0A" w:rsidRPr="005A4656" w:rsidRDefault="00376C9E"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 xml:space="preserve">Il problema di carattere costituzionale è assai delicato ed investe i rapporti tra funzione legislativa e funzione giurisdizionale. La teoria dell’interpretazione sganciata dall’intenzione del legislatore porta a dilatare la funzione giurisdizionale in danno della funzione legislativa, sì da far immaginare che il fenomeno della produzione delle leggi si ponga come un dato meramente storico di configurazione di un tema e di un vago schema di regolamento al quale l’interprete darà, invece, liberamente la sua soluzione (Leone G. </w:t>
      </w:r>
      <w:proofErr w:type="spellStart"/>
      <w:r w:rsidRPr="005A4656">
        <w:rPr>
          <w:rFonts w:ascii="Times New Roman" w:hAnsi="Times New Roman" w:cs="Times New Roman"/>
          <w:sz w:val="26"/>
          <w:szCs w:val="26"/>
        </w:rPr>
        <w:t>sr</w:t>
      </w:r>
      <w:proofErr w:type="spellEnd"/>
      <w:r w:rsidRPr="005A4656">
        <w:rPr>
          <w:rFonts w:ascii="Times New Roman" w:hAnsi="Times New Roman" w:cs="Times New Roman"/>
          <w:sz w:val="26"/>
          <w:szCs w:val="26"/>
        </w:rPr>
        <w:t xml:space="preserve">., </w:t>
      </w:r>
      <w:r w:rsidRPr="005A4656">
        <w:rPr>
          <w:rFonts w:ascii="Times New Roman" w:hAnsi="Times New Roman" w:cs="Times New Roman"/>
          <w:i/>
          <w:sz w:val="26"/>
          <w:szCs w:val="26"/>
        </w:rPr>
        <w:t>Aspetti costituzionali dell’interpretazione della legge</w:t>
      </w:r>
      <w:r w:rsidRPr="005A4656">
        <w:rPr>
          <w:rFonts w:ascii="Times New Roman" w:hAnsi="Times New Roman" w:cs="Times New Roman"/>
          <w:sz w:val="26"/>
          <w:szCs w:val="26"/>
        </w:rPr>
        <w:t xml:space="preserve">, in </w:t>
      </w:r>
      <w:r w:rsidRPr="005A4656">
        <w:rPr>
          <w:rFonts w:ascii="Times New Roman" w:hAnsi="Times New Roman" w:cs="Times New Roman"/>
          <w:i/>
          <w:sz w:val="26"/>
          <w:szCs w:val="26"/>
        </w:rPr>
        <w:t>Scritti giuridici</w:t>
      </w:r>
      <w:r w:rsidRPr="005A4656">
        <w:rPr>
          <w:rFonts w:ascii="Times New Roman" w:hAnsi="Times New Roman" w:cs="Times New Roman"/>
          <w:sz w:val="26"/>
          <w:szCs w:val="26"/>
        </w:rPr>
        <w:t xml:space="preserve">, Napoli, 1987, 643). </w:t>
      </w:r>
    </w:p>
    <w:p w:rsidR="004A715C" w:rsidRPr="005A4656" w:rsidRDefault="00212439"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Occorre, a mio avviso, tener presente che l’unica fonte di produzione delle leggi</w:t>
      </w:r>
      <w:r w:rsidR="00B857EF">
        <w:rPr>
          <w:rFonts w:ascii="Times New Roman" w:hAnsi="Times New Roman" w:cs="Times New Roman"/>
          <w:sz w:val="26"/>
          <w:szCs w:val="26"/>
        </w:rPr>
        <w:t xml:space="preserve"> (statali, ma il principio è valido per le altre norme, dalle europee alle regionali)</w:t>
      </w:r>
      <w:r w:rsidRPr="005A4656">
        <w:rPr>
          <w:rFonts w:ascii="Times New Roman" w:hAnsi="Times New Roman" w:cs="Times New Roman"/>
          <w:sz w:val="26"/>
          <w:szCs w:val="26"/>
        </w:rPr>
        <w:t xml:space="preserve"> è il Parlamento e che la legge, una volta pubblicata sulla gazzetta ufficiale, non è un’entità che</w:t>
      </w:r>
      <w:r w:rsidR="005A4656" w:rsidRPr="005A4656">
        <w:rPr>
          <w:rFonts w:ascii="Times New Roman" w:hAnsi="Times New Roman" w:cs="Times New Roman"/>
          <w:sz w:val="26"/>
          <w:szCs w:val="26"/>
        </w:rPr>
        <w:t>,</w:t>
      </w:r>
      <w:r w:rsidRPr="005A4656">
        <w:rPr>
          <w:rFonts w:ascii="Times New Roman" w:hAnsi="Times New Roman" w:cs="Times New Roman"/>
          <w:sz w:val="26"/>
          <w:szCs w:val="26"/>
        </w:rPr>
        <w:t xml:space="preserve"> appena distaccatasi dal legislatore, vive di vita autonoma e rivendica una sua propria volontà (così Leone G. </w:t>
      </w:r>
      <w:proofErr w:type="spellStart"/>
      <w:r w:rsidRPr="005A4656">
        <w:rPr>
          <w:rFonts w:ascii="Times New Roman" w:hAnsi="Times New Roman" w:cs="Times New Roman"/>
          <w:sz w:val="26"/>
          <w:szCs w:val="26"/>
        </w:rPr>
        <w:t>sr</w:t>
      </w:r>
      <w:proofErr w:type="spellEnd"/>
      <w:r w:rsidRPr="005A4656">
        <w:rPr>
          <w:rFonts w:ascii="Times New Roman" w:hAnsi="Times New Roman" w:cs="Times New Roman"/>
          <w:sz w:val="26"/>
          <w:szCs w:val="26"/>
        </w:rPr>
        <w:t xml:space="preserve">., </w:t>
      </w:r>
      <w:r w:rsidRPr="005A4656">
        <w:rPr>
          <w:rFonts w:ascii="Times New Roman" w:hAnsi="Times New Roman" w:cs="Times New Roman"/>
          <w:i/>
          <w:sz w:val="26"/>
          <w:szCs w:val="26"/>
        </w:rPr>
        <w:t>op. cit</w:t>
      </w:r>
      <w:r w:rsidRPr="005A4656">
        <w:rPr>
          <w:rFonts w:ascii="Times New Roman" w:hAnsi="Times New Roman" w:cs="Times New Roman"/>
          <w:sz w:val="26"/>
          <w:szCs w:val="26"/>
        </w:rPr>
        <w:t xml:space="preserve">., 645), </w:t>
      </w:r>
      <w:r w:rsidR="005A4656" w:rsidRPr="005A4656">
        <w:rPr>
          <w:rFonts w:ascii="Times New Roman" w:hAnsi="Times New Roman" w:cs="Times New Roman"/>
          <w:sz w:val="26"/>
          <w:szCs w:val="26"/>
        </w:rPr>
        <w:t>la quale</w:t>
      </w:r>
      <w:r w:rsidRPr="005A4656">
        <w:rPr>
          <w:rFonts w:ascii="Times New Roman" w:hAnsi="Times New Roman" w:cs="Times New Roman"/>
          <w:sz w:val="26"/>
          <w:szCs w:val="26"/>
        </w:rPr>
        <w:t xml:space="preserve">, pertanto, può esser sostituita dalla volontà del giudice-interprete. Il quadro costituzionale lo impedisce. Pur nella sua indipendenza ed autonomia da qualsiasi potere, il magistrato è soggetto solo alla legge (art. 101 Cost.) e </w:t>
      </w:r>
      <w:r w:rsidRPr="005A4656">
        <w:rPr>
          <w:rFonts w:ascii="Times New Roman" w:hAnsi="Times New Roman" w:cs="Times New Roman"/>
          <w:sz w:val="26"/>
          <w:szCs w:val="26"/>
        </w:rPr>
        <w:lastRenderedPageBreak/>
        <w:t>non può violare il rigoroso limite posto nei confronti di chi è l’autore della produzione delle regole giuridiche da applicare al caso concreto.</w:t>
      </w:r>
      <w:r w:rsidR="000405B7" w:rsidRPr="005A4656">
        <w:rPr>
          <w:rFonts w:ascii="Times New Roman" w:hAnsi="Times New Roman" w:cs="Times New Roman"/>
          <w:sz w:val="26"/>
          <w:szCs w:val="26"/>
        </w:rPr>
        <w:t xml:space="preserve"> Il pericolo che l’approdo di tale corrente di pensiero reca con sé consiste</w:t>
      </w:r>
      <w:r w:rsidR="005A4656" w:rsidRPr="005A4656">
        <w:rPr>
          <w:rFonts w:ascii="Times New Roman" w:hAnsi="Times New Roman" w:cs="Times New Roman"/>
          <w:sz w:val="26"/>
          <w:szCs w:val="26"/>
        </w:rPr>
        <w:t xml:space="preserve"> nel fatto che</w:t>
      </w:r>
      <w:r w:rsidR="000405B7" w:rsidRPr="005A4656">
        <w:rPr>
          <w:rFonts w:ascii="Times New Roman" w:hAnsi="Times New Roman" w:cs="Times New Roman"/>
          <w:sz w:val="26"/>
          <w:szCs w:val="26"/>
        </w:rPr>
        <w:t>, al di là dell’interpretazione della norma nel caso concreto</w:t>
      </w:r>
      <w:r w:rsidR="005A4656" w:rsidRPr="005A4656">
        <w:rPr>
          <w:rFonts w:ascii="Times New Roman" w:hAnsi="Times New Roman" w:cs="Times New Roman"/>
          <w:sz w:val="26"/>
          <w:szCs w:val="26"/>
        </w:rPr>
        <w:t>,</w:t>
      </w:r>
      <w:r w:rsidR="000405B7" w:rsidRPr="005A4656">
        <w:rPr>
          <w:rFonts w:ascii="Times New Roman" w:hAnsi="Times New Roman" w:cs="Times New Roman"/>
          <w:sz w:val="26"/>
          <w:szCs w:val="26"/>
        </w:rPr>
        <w:t xml:space="preserve"> ogni precedente giurisprudenziale, soprattutto se promanante dagli Organi giurisdizionali nomofilattici, dia luogo al cd. precedente o alla giurisprudenza consolidata (</w:t>
      </w:r>
      <w:proofErr w:type="spellStart"/>
      <w:r w:rsidR="000405B7" w:rsidRPr="005A4656">
        <w:rPr>
          <w:rFonts w:ascii="Times New Roman" w:hAnsi="Times New Roman" w:cs="Times New Roman"/>
          <w:i/>
          <w:sz w:val="26"/>
          <w:szCs w:val="26"/>
        </w:rPr>
        <w:t>ius</w:t>
      </w:r>
      <w:proofErr w:type="spellEnd"/>
      <w:r w:rsidR="000405B7" w:rsidRPr="005A4656">
        <w:rPr>
          <w:rFonts w:ascii="Times New Roman" w:hAnsi="Times New Roman" w:cs="Times New Roman"/>
          <w:i/>
          <w:sz w:val="26"/>
          <w:szCs w:val="26"/>
        </w:rPr>
        <w:t xml:space="preserve"> </w:t>
      </w:r>
      <w:proofErr w:type="spellStart"/>
      <w:r w:rsidR="000405B7" w:rsidRPr="005A4656">
        <w:rPr>
          <w:rFonts w:ascii="Times New Roman" w:hAnsi="Times New Roman" w:cs="Times New Roman"/>
          <w:i/>
          <w:sz w:val="26"/>
          <w:szCs w:val="26"/>
        </w:rPr>
        <w:t>receptum</w:t>
      </w:r>
      <w:proofErr w:type="spellEnd"/>
      <w:r w:rsidR="000405B7" w:rsidRPr="005A4656">
        <w:rPr>
          <w:rFonts w:ascii="Times New Roman" w:hAnsi="Times New Roman" w:cs="Times New Roman"/>
          <w:sz w:val="26"/>
          <w:szCs w:val="26"/>
        </w:rPr>
        <w:t xml:space="preserve">), avente il medesimo valore della volontà del legislatore, o meglio sostitutivo della oramai svalutata volontà di quest’ultimo. </w:t>
      </w:r>
      <w:r w:rsidRPr="005A4656">
        <w:rPr>
          <w:rFonts w:ascii="Times New Roman" w:hAnsi="Times New Roman" w:cs="Times New Roman"/>
          <w:sz w:val="26"/>
          <w:szCs w:val="26"/>
        </w:rPr>
        <w:t xml:space="preserve">  </w:t>
      </w:r>
      <w:r w:rsidR="00731772" w:rsidRPr="005A4656">
        <w:rPr>
          <w:rFonts w:ascii="Times New Roman" w:hAnsi="Times New Roman" w:cs="Times New Roman"/>
          <w:sz w:val="26"/>
          <w:szCs w:val="26"/>
        </w:rPr>
        <w:t xml:space="preserve"> </w:t>
      </w:r>
    </w:p>
    <w:p w:rsidR="00747782" w:rsidRPr="005A4656" w:rsidRDefault="004A715C" w:rsidP="00945E67">
      <w:pPr>
        <w:spacing w:after="0" w:line="360" w:lineRule="auto"/>
        <w:jc w:val="both"/>
        <w:rPr>
          <w:rFonts w:ascii="Times New Roman" w:hAnsi="Times New Roman" w:cs="Times New Roman"/>
          <w:sz w:val="26"/>
          <w:szCs w:val="26"/>
        </w:rPr>
      </w:pPr>
      <w:r w:rsidRPr="005A4656">
        <w:rPr>
          <w:rFonts w:ascii="Times New Roman" w:hAnsi="Times New Roman" w:cs="Times New Roman"/>
          <w:sz w:val="26"/>
          <w:szCs w:val="26"/>
        </w:rPr>
        <w:t xml:space="preserve">     </w:t>
      </w:r>
      <w:r w:rsidR="005974B5" w:rsidRPr="005A4656">
        <w:rPr>
          <w:rFonts w:ascii="Times New Roman" w:hAnsi="Times New Roman" w:cs="Times New Roman"/>
          <w:sz w:val="26"/>
          <w:szCs w:val="26"/>
        </w:rPr>
        <w:t xml:space="preserve">      </w:t>
      </w:r>
      <w:r w:rsidR="00747782" w:rsidRPr="005A4656">
        <w:rPr>
          <w:rFonts w:ascii="Times New Roman" w:hAnsi="Times New Roman" w:cs="Times New Roman"/>
          <w:sz w:val="26"/>
          <w:szCs w:val="26"/>
        </w:rPr>
        <w:t xml:space="preserve">  </w:t>
      </w:r>
      <w:r w:rsidR="00B857EF">
        <w:rPr>
          <w:rFonts w:ascii="Times New Roman" w:hAnsi="Times New Roman" w:cs="Times New Roman"/>
          <w:sz w:val="26"/>
          <w:szCs w:val="26"/>
        </w:rPr>
        <w:tab/>
      </w:r>
      <w:r w:rsidR="00B857EF">
        <w:rPr>
          <w:rFonts w:ascii="Times New Roman" w:hAnsi="Times New Roman" w:cs="Times New Roman"/>
          <w:sz w:val="26"/>
          <w:szCs w:val="26"/>
        </w:rPr>
        <w:tab/>
      </w:r>
      <w:r w:rsidR="00B857EF">
        <w:rPr>
          <w:rFonts w:ascii="Times New Roman" w:hAnsi="Times New Roman" w:cs="Times New Roman"/>
          <w:sz w:val="26"/>
          <w:szCs w:val="26"/>
        </w:rPr>
        <w:tab/>
      </w:r>
      <w:r w:rsidR="00B857EF">
        <w:rPr>
          <w:rFonts w:ascii="Times New Roman" w:hAnsi="Times New Roman" w:cs="Times New Roman"/>
          <w:sz w:val="26"/>
          <w:szCs w:val="26"/>
        </w:rPr>
        <w:tab/>
      </w:r>
      <w:r w:rsidR="00B857EF">
        <w:rPr>
          <w:rFonts w:ascii="Times New Roman" w:hAnsi="Times New Roman" w:cs="Times New Roman"/>
          <w:sz w:val="26"/>
          <w:szCs w:val="26"/>
        </w:rPr>
        <w:tab/>
      </w:r>
      <w:r w:rsidR="00B857EF">
        <w:rPr>
          <w:rFonts w:ascii="Times New Roman" w:hAnsi="Times New Roman" w:cs="Times New Roman"/>
          <w:sz w:val="26"/>
          <w:szCs w:val="26"/>
        </w:rPr>
        <w:tab/>
      </w:r>
      <w:r w:rsidR="00B857EF">
        <w:rPr>
          <w:rFonts w:ascii="Times New Roman" w:hAnsi="Times New Roman" w:cs="Times New Roman"/>
          <w:sz w:val="26"/>
          <w:szCs w:val="26"/>
        </w:rPr>
        <w:tab/>
        <w:t>Giovanni Leone</w:t>
      </w:r>
    </w:p>
    <w:sectPr w:rsidR="00747782" w:rsidRPr="005A4656" w:rsidSect="00894A2D">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AD1" w:rsidRDefault="00AB3AD1" w:rsidP="00945E67">
      <w:pPr>
        <w:spacing w:after="0" w:line="240" w:lineRule="auto"/>
      </w:pPr>
      <w:r>
        <w:separator/>
      </w:r>
    </w:p>
  </w:endnote>
  <w:endnote w:type="continuationSeparator" w:id="0">
    <w:p w:rsidR="00AB3AD1" w:rsidRDefault="00AB3AD1" w:rsidP="0094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313848"/>
      <w:docPartObj>
        <w:docPartGallery w:val="Page Numbers (Bottom of Page)"/>
        <w:docPartUnique/>
      </w:docPartObj>
    </w:sdtPr>
    <w:sdtEndPr/>
    <w:sdtContent>
      <w:p w:rsidR="008F0138" w:rsidRDefault="008F0138">
        <w:pPr>
          <w:pStyle w:val="Pidipagina"/>
          <w:jc w:val="center"/>
        </w:pPr>
        <w:r>
          <w:fldChar w:fldCharType="begin"/>
        </w:r>
        <w:r>
          <w:instrText>PAGE   \* MERGEFORMAT</w:instrText>
        </w:r>
        <w:r>
          <w:fldChar w:fldCharType="separate"/>
        </w:r>
        <w:r>
          <w:t>2</w:t>
        </w:r>
        <w:r>
          <w:fldChar w:fldCharType="end"/>
        </w:r>
      </w:p>
    </w:sdtContent>
  </w:sdt>
  <w:p w:rsidR="008F0138" w:rsidRDefault="008F01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AD1" w:rsidRDefault="00AB3AD1" w:rsidP="00945E67">
      <w:pPr>
        <w:spacing w:after="0" w:line="240" w:lineRule="auto"/>
      </w:pPr>
      <w:r>
        <w:separator/>
      </w:r>
    </w:p>
  </w:footnote>
  <w:footnote w:type="continuationSeparator" w:id="0">
    <w:p w:rsidR="00AB3AD1" w:rsidRDefault="00AB3AD1" w:rsidP="00945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3EB"/>
    <w:multiLevelType w:val="hybridMultilevel"/>
    <w:tmpl w:val="F4A4FE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E"/>
    <w:rsid w:val="00006A59"/>
    <w:rsid w:val="00022C89"/>
    <w:rsid w:val="000233FF"/>
    <w:rsid w:val="0003695F"/>
    <w:rsid w:val="000405B7"/>
    <w:rsid w:val="00052FB4"/>
    <w:rsid w:val="000A3EB9"/>
    <w:rsid w:val="00212439"/>
    <w:rsid w:val="0024206D"/>
    <w:rsid w:val="00243C71"/>
    <w:rsid w:val="00253499"/>
    <w:rsid w:val="00267890"/>
    <w:rsid w:val="00284C2B"/>
    <w:rsid w:val="002A7BE7"/>
    <w:rsid w:val="002B394E"/>
    <w:rsid w:val="002C5129"/>
    <w:rsid w:val="00302054"/>
    <w:rsid w:val="00370B6E"/>
    <w:rsid w:val="00376C9E"/>
    <w:rsid w:val="003D7DFF"/>
    <w:rsid w:val="003F1CFA"/>
    <w:rsid w:val="004051A8"/>
    <w:rsid w:val="0048009F"/>
    <w:rsid w:val="00481505"/>
    <w:rsid w:val="004919EB"/>
    <w:rsid w:val="004A2FC6"/>
    <w:rsid w:val="004A715C"/>
    <w:rsid w:val="004D71AE"/>
    <w:rsid w:val="004E35DA"/>
    <w:rsid w:val="004F57AA"/>
    <w:rsid w:val="00513576"/>
    <w:rsid w:val="005762CB"/>
    <w:rsid w:val="00596935"/>
    <w:rsid w:val="005974B5"/>
    <w:rsid w:val="005A4656"/>
    <w:rsid w:val="005E3618"/>
    <w:rsid w:val="00614164"/>
    <w:rsid w:val="00624A01"/>
    <w:rsid w:val="006A6A81"/>
    <w:rsid w:val="006B4CBA"/>
    <w:rsid w:val="00731772"/>
    <w:rsid w:val="00747782"/>
    <w:rsid w:val="00763818"/>
    <w:rsid w:val="00773FF2"/>
    <w:rsid w:val="007871A8"/>
    <w:rsid w:val="007947E8"/>
    <w:rsid w:val="007D6196"/>
    <w:rsid w:val="008213FF"/>
    <w:rsid w:val="00894A2D"/>
    <w:rsid w:val="008F0138"/>
    <w:rsid w:val="00945E67"/>
    <w:rsid w:val="0099072A"/>
    <w:rsid w:val="009B3BA1"/>
    <w:rsid w:val="009D2900"/>
    <w:rsid w:val="00A45B18"/>
    <w:rsid w:val="00A872AC"/>
    <w:rsid w:val="00AA35D5"/>
    <w:rsid w:val="00AB3AD1"/>
    <w:rsid w:val="00AC4B0A"/>
    <w:rsid w:val="00B13553"/>
    <w:rsid w:val="00B35FC7"/>
    <w:rsid w:val="00B857EF"/>
    <w:rsid w:val="00B92AD5"/>
    <w:rsid w:val="00B92DBD"/>
    <w:rsid w:val="00BC3925"/>
    <w:rsid w:val="00BE31CE"/>
    <w:rsid w:val="00BE513B"/>
    <w:rsid w:val="00C80B19"/>
    <w:rsid w:val="00C90A1E"/>
    <w:rsid w:val="00CA1D32"/>
    <w:rsid w:val="00D012CF"/>
    <w:rsid w:val="00D13D03"/>
    <w:rsid w:val="00D15911"/>
    <w:rsid w:val="00D65445"/>
    <w:rsid w:val="00DA15C0"/>
    <w:rsid w:val="00DA213F"/>
    <w:rsid w:val="00DB07BA"/>
    <w:rsid w:val="00DB3E91"/>
    <w:rsid w:val="00ED4FC7"/>
    <w:rsid w:val="00F0184B"/>
    <w:rsid w:val="00F17E0D"/>
    <w:rsid w:val="00F340D0"/>
    <w:rsid w:val="00FB0503"/>
    <w:rsid w:val="00FB19A5"/>
    <w:rsid w:val="00FB5A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0E369-2195-4AA4-A2C3-907AEBEE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BE51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
    <w:name w:val="sent_normal"/>
    <w:basedOn w:val="Normale"/>
    <w:rsid w:val="0059693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8009F"/>
    <w:rPr>
      <w:color w:val="0000FF"/>
      <w:u w:val="single"/>
    </w:rPr>
  </w:style>
  <w:style w:type="character" w:customStyle="1" w:styleId="linkneltesto">
    <w:name w:val="link_nel_testo"/>
    <w:basedOn w:val="Carpredefinitoparagrafo"/>
    <w:rsid w:val="0048009F"/>
  </w:style>
  <w:style w:type="paragraph" w:styleId="Intestazione">
    <w:name w:val="header"/>
    <w:basedOn w:val="Normale"/>
    <w:link w:val="IntestazioneCarattere"/>
    <w:uiPriority w:val="99"/>
    <w:unhideWhenUsed/>
    <w:rsid w:val="0094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5E67"/>
  </w:style>
  <w:style w:type="paragraph" w:styleId="Pidipagina">
    <w:name w:val="footer"/>
    <w:basedOn w:val="Normale"/>
    <w:link w:val="PidipaginaCarattere"/>
    <w:uiPriority w:val="99"/>
    <w:unhideWhenUsed/>
    <w:rsid w:val="0094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5E67"/>
  </w:style>
  <w:style w:type="paragraph" w:styleId="Paragrafoelenco">
    <w:name w:val="List Paragraph"/>
    <w:basedOn w:val="Normale"/>
    <w:uiPriority w:val="34"/>
    <w:qFormat/>
    <w:rsid w:val="00006A59"/>
    <w:pPr>
      <w:ind w:left="720"/>
      <w:contextualSpacing/>
    </w:pPr>
  </w:style>
  <w:style w:type="character" w:customStyle="1" w:styleId="resultlisthighlightterm">
    <w:name w:val="resultlisthighlightterm"/>
    <w:basedOn w:val="Carpredefinitoparagrafo"/>
    <w:rsid w:val="007871A8"/>
  </w:style>
  <w:style w:type="character" w:styleId="Enfasigrassetto">
    <w:name w:val="Strong"/>
    <w:basedOn w:val="Carpredefinitoparagrafo"/>
    <w:uiPriority w:val="22"/>
    <w:qFormat/>
    <w:rsid w:val="007871A8"/>
    <w:rPr>
      <w:b/>
      <w:bCs/>
    </w:rPr>
  </w:style>
  <w:style w:type="paragraph" w:styleId="NormaleWeb">
    <w:name w:val="Normal (Web)"/>
    <w:basedOn w:val="Normale"/>
    <w:uiPriority w:val="99"/>
    <w:semiHidden/>
    <w:unhideWhenUsed/>
    <w:rsid w:val="00C80B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sivo">
    <w:name w:val="corsivo"/>
    <w:basedOn w:val="Carpredefinitoparagrafo"/>
    <w:rsid w:val="00C8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043525">
      <w:bodyDiv w:val="1"/>
      <w:marLeft w:val="0"/>
      <w:marRight w:val="0"/>
      <w:marTop w:val="0"/>
      <w:marBottom w:val="0"/>
      <w:divBdr>
        <w:top w:val="none" w:sz="0" w:space="0" w:color="auto"/>
        <w:left w:val="none" w:sz="0" w:space="0" w:color="auto"/>
        <w:bottom w:val="none" w:sz="0" w:space="0" w:color="auto"/>
        <w:right w:val="none" w:sz="0" w:space="0" w:color="auto"/>
      </w:divBdr>
    </w:div>
    <w:div w:id="923533803">
      <w:bodyDiv w:val="1"/>
      <w:marLeft w:val="0"/>
      <w:marRight w:val="0"/>
      <w:marTop w:val="0"/>
      <w:marBottom w:val="0"/>
      <w:divBdr>
        <w:top w:val="none" w:sz="0" w:space="0" w:color="auto"/>
        <w:left w:val="none" w:sz="0" w:space="0" w:color="auto"/>
        <w:bottom w:val="none" w:sz="0" w:space="0" w:color="auto"/>
        <w:right w:val="none" w:sz="0" w:space="0" w:color="auto"/>
      </w:divBdr>
    </w:div>
    <w:div w:id="1397819774">
      <w:bodyDiv w:val="1"/>
      <w:marLeft w:val="0"/>
      <w:marRight w:val="0"/>
      <w:marTop w:val="0"/>
      <w:marBottom w:val="0"/>
      <w:divBdr>
        <w:top w:val="none" w:sz="0" w:space="0" w:color="auto"/>
        <w:left w:val="none" w:sz="0" w:space="0" w:color="auto"/>
        <w:bottom w:val="none" w:sz="0" w:space="0" w:color="auto"/>
        <w:right w:val="none" w:sz="0" w:space="0" w:color="auto"/>
      </w:divBdr>
    </w:div>
    <w:div w:id="1616205315">
      <w:bodyDiv w:val="1"/>
      <w:marLeft w:val="0"/>
      <w:marRight w:val="0"/>
      <w:marTop w:val="0"/>
      <w:marBottom w:val="0"/>
      <w:divBdr>
        <w:top w:val="none" w:sz="0" w:space="0" w:color="auto"/>
        <w:left w:val="none" w:sz="0" w:space="0" w:color="auto"/>
        <w:bottom w:val="none" w:sz="0" w:space="0" w:color="auto"/>
        <w:right w:val="none" w:sz="0" w:space="0" w:color="auto"/>
      </w:divBdr>
    </w:div>
    <w:div w:id="1846702867">
      <w:bodyDiv w:val="1"/>
      <w:marLeft w:val="0"/>
      <w:marRight w:val="0"/>
      <w:marTop w:val="0"/>
      <w:marBottom w:val="0"/>
      <w:divBdr>
        <w:top w:val="none" w:sz="0" w:space="0" w:color="auto"/>
        <w:left w:val="none" w:sz="0" w:space="0" w:color="auto"/>
        <w:bottom w:val="none" w:sz="0" w:space="0" w:color="auto"/>
        <w:right w:val="none" w:sz="0" w:space="0" w:color="auto"/>
      </w:divBdr>
    </w:div>
    <w:div w:id="21127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jump_module('bd',%7bmask:'main',opera:'61',id:'61LX0000758639ART158',key:'61LX0000758639ART158',%20callerTicket:%20'',%20userKey:%20'',_menu:'normativa',kind:''%7d)" TargetMode="External"/><Relationship Id="rId3" Type="http://schemas.openxmlformats.org/officeDocument/2006/relationships/settings" Target="settings.xml"/><Relationship Id="rId7" Type="http://schemas.openxmlformats.org/officeDocument/2006/relationships/hyperlink" Target="javascript:jump_module('bd',%7bmask:'main',opera:'61',id:'61LX0000805571ART15',key:'61LX0000805571ART15',%20callerTicket:%20'',%20userKey:%20'',_menu:'normativa',kind:''%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5861</Words>
  <Characters>33411</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2018-08-02T08:14:00Z</dcterms:created>
  <dcterms:modified xsi:type="dcterms:W3CDTF">2018-08-02T08:14:00Z</dcterms:modified>
</cp:coreProperties>
</file>