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4A62" w:rsidRPr="004D7E79" w:rsidRDefault="00F34A62" w:rsidP="00F34A62">
      <w:pPr>
        <w:spacing w:after="200" w:line="276" w:lineRule="auto"/>
        <w:jc w:val="center"/>
        <w:rPr>
          <w:rStyle w:val="Garamond"/>
          <w:i/>
          <w:sz w:val="28"/>
          <w:szCs w:val="28"/>
        </w:rPr>
      </w:pPr>
      <w:r w:rsidRPr="004D7E79">
        <w:rPr>
          <w:rStyle w:val="Garamond"/>
          <w:sz w:val="32"/>
          <w:szCs w:val="32"/>
        </w:rPr>
        <w:t>Umberto Giani</w:t>
      </w:r>
    </w:p>
    <w:p w:rsidR="00F34A62" w:rsidRDefault="00F34A62" w:rsidP="00F34A62">
      <w:pPr>
        <w:spacing w:after="200" w:line="276" w:lineRule="auto"/>
        <w:jc w:val="center"/>
        <w:rPr>
          <w:rStyle w:val="Garamond"/>
          <w:i/>
          <w:sz w:val="28"/>
          <w:szCs w:val="28"/>
        </w:rPr>
      </w:pPr>
    </w:p>
    <w:p w:rsidR="00F34A62" w:rsidRDefault="00F34A62" w:rsidP="00F34A62">
      <w:pPr>
        <w:spacing w:after="200" w:line="276" w:lineRule="auto"/>
        <w:jc w:val="center"/>
        <w:rPr>
          <w:rStyle w:val="Garamond"/>
          <w:i/>
          <w:sz w:val="28"/>
          <w:szCs w:val="28"/>
        </w:rPr>
      </w:pPr>
      <w:r>
        <w:rPr>
          <w:rStyle w:val="Garamond"/>
          <w:i/>
          <w:sz w:val="28"/>
          <w:szCs w:val="28"/>
        </w:rPr>
        <w:t>Il paradigma</w:t>
      </w:r>
      <w:r w:rsidRPr="001828C6">
        <w:rPr>
          <w:rStyle w:val="Garamond"/>
          <w:i/>
          <w:sz w:val="28"/>
          <w:szCs w:val="28"/>
        </w:rPr>
        <w:t xml:space="preserve"> quantitativ</w:t>
      </w:r>
      <w:r>
        <w:rPr>
          <w:rStyle w:val="Garamond"/>
          <w:i/>
          <w:sz w:val="28"/>
          <w:szCs w:val="28"/>
        </w:rPr>
        <w:t>o</w:t>
      </w:r>
      <w:r w:rsidRPr="001828C6">
        <w:rPr>
          <w:rStyle w:val="Garamond"/>
          <w:i/>
          <w:sz w:val="28"/>
          <w:szCs w:val="28"/>
        </w:rPr>
        <w:t xml:space="preserve"> in medicina </w:t>
      </w:r>
    </w:p>
    <w:p w:rsidR="00F34A62" w:rsidRPr="00D73A41" w:rsidRDefault="00F34A62" w:rsidP="00F34A62">
      <w:pPr>
        <w:spacing w:after="200" w:line="276" w:lineRule="auto"/>
        <w:jc w:val="center"/>
        <w:rPr>
          <w:rStyle w:val="Garamond"/>
          <w:sz w:val="28"/>
          <w:szCs w:val="28"/>
        </w:rPr>
      </w:pPr>
      <w:r w:rsidRPr="00D73A41">
        <w:rPr>
          <w:rStyle w:val="Garamond"/>
          <w:sz w:val="28"/>
          <w:szCs w:val="28"/>
        </w:rPr>
        <w:t>I</w:t>
      </w:r>
    </w:p>
    <w:p w:rsidR="00F34A62" w:rsidRPr="00C71447" w:rsidRDefault="00F34A62" w:rsidP="00F34A62">
      <w:pPr>
        <w:spacing w:after="200" w:line="276" w:lineRule="auto"/>
        <w:jc w:val="center"/>
        <w:rPr>
          <w:rStyle w:val="Garamond"/>
          <w:b/>
          <w:sz w:val="36"/>
          <w:szCs w:val="28"/>
        </w:rPr>
      </w:pPr>
      <w:r w:rsidRPr="00C71447">
        <w:rPr>
          <w:rStyle w:val="Garamond"/>
          <w:b/>
          <w:sz w:val="36"/>
          <w:szCs w:val="28"/>
        </w:rPr>
        <w:t xml:space="preserve">Probabilità e Incertezza </w:t>
      </w:r>
    </w:p>
    <w:p w:rsidR="00F34A62" w:rsidRPr="00C71447" w:rsidRDefault="00F34A62" w:rsidP="00F34A62">
      <w:pPr>
        <w:spacing w:after="200" w:line="276" w:lineRule="auto"/>
        <w:jc w:val="center"/>
        <w:rPr>
          <w:rStyle w:val="Garamond"/>
          <w:b/>
          <w:sz w:val="36"/>
          <w:szCs w:val="28"/>
        </w:rPr>
      </w:pPr>
      <w:r w:rsidRPr="00C71447">
        <w:rPr>
          <w:rStyle w:val="Garamond"/>
          <w:b/>
          <w:sz w:val="36"/>
          <w:szCs w:val="28"/>
        </w:rPr>
        <w:t>nel</w:t>
      </w:r>
    </w:p>
    <w:p w:rsidR="00F34A62" w:rsidRPr="00C71447" w:rsidRDefault="00F34A62" w:rsidP="00F34A62">
      <w:pPr>
        <w:spacing w:after="200" w:line="276" w:lineRule="auto"/>
        <w:jc w:val="center"/>
        <w:rPr>
          <w:rStyle w:val="Garamond"/>
          <w:b/>
          <w:sz w:val="36"/>
          <w:szCs w:val="28"/>
        </w:rPr>
      </w:pPr>
      <w:r w:rsidRPr="00C71447">
        <w:rPr>
          <w:rStyle w:val="Garamond"/>
          <w:b/>
          <w:sz w:val="36"/>
          <w:szCs w:val="28"/>
        </w:rPr>
        <w:t>Ragionamento Diagnostico</w:t>
      </w:r>
    </w:p>
    <w:p w:rsidR="00F34A62" w:rsidRDefault="00F34A62" w:rsidP="00F34A62">
      <w:pPr>
        <w:spacing w:after="200" w:line="276" w:lineRule="auto"/>
        <w:jc w:val="center"/>
        <w:rPr>
          <w:rStyle w:val="Garamond"/>
          <w:i/>
          <w:sz w:val="28"/>
          <w:szCs w:val="28"/>
        </w:rPr>
      </w:pPr>
    </w:p>
    <w:p w:rsidR="00F34A62" w:rsidRPr="004D7E79" w:rsidRDefault="00F34A62" w:rsidP="00F34A62">
      <w:pPr>
        <w:spacing w:after="200" w:line="276" w:lineRule="auto"/>
        <w:jc w:val="center"/>
        <w:rPr>
          <w:rStyle w:val="Garamond"/>
          <w:szCs w:val="24"/>
        </w:rPr>
      </w:pPr>
      <w:r>
        <w:rPr>
          <w:rStyle w:val="Garamond"/>
          <w:szCs w:val="24"/>
        </w:rPr>
        <w:t>v</w:t>
      </w:r>
      <w:r w:rsidRPr="004D7E79">
        <w:rPr>
          <w:rStyle w:val="Garamond"/>
          <w:szCs w:val="24"/>
        </w:rPr>
        <w:t>erso una medicina multiprofessionale</w:t>
      </w:r>
    </w:p>
    <w:p w:rsidR="00F34A62" w:rsidRPr="00F4179B" w:rsidRDefault="00F34A62" w:rsidP="00F34A62">
      <w:pPr>
        <w:spacing w:after="200" w:line="276" w:lineRule="auto"/>
        <w:jc w:val="center"/>
        <w:rPr>
          <w:rStyle w:val="Garamond"/>
          <w:i/>
          <w:sz w:val="28"/>
          <w:szCs w:val="28"/>
        </w:rPr>
      </w:pPr>
    </w:p>
    <w:p w:rsidR="00F34A62" w:rsidRPr="00F4179B" w:rsidRDefault="00F34A62" w:rsidP="00F34A62">
      <w:pPr>
        <w:spacing w:after="200" w:line="276" w:lineRule="auto"/>
        <w:jc w:val="center"/>
        <w:rPr>
          <w:rStyle w:val="Garamond"/>
          <w:i/>
          <w:sz w:val="28"/>
          <w:szCs w:val="28"/>
        </w:rPr>
      </w:pPr>
      <w:r>
        <w:rPr>
          <w:rFonts w:ascii="Garamond" w:hAnsi="Garamond"/>
          <w:i/>
          <w:noProof/>
          <w:sz w:val="28"/>
          <w:lang w:eastAsia="it-IT"/>
        </w:rPr>
        <w:drawing>
          <wp:inline distT="0" distB="0" distL="0" distR="0">
            <wp:extent cx="2305685" cy="1729105"/>
            <wp:effectExtent l="19050" t="0" r="0" b="0"/>
            <wp:docPr id="1" name="Immagine 6" descr="Ki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6" descr="KiH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5685" cy="17291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34A62" w:rsidRPr="00F4179B" w:rsidRDefault="00F34A62" w:rsidP="00F34A62">
      <w:pPr>
        <w:spacing w:after="200" w:line="276" w:lineRule="auto"/>
        <w:jc w:val="center"/>
        <w:rPr>
          <w:rStyle w:val="Garamond"/>
          <w:i/>
          <w:sz w:val="28"/>
          <w:szCs w:val="28"/>
        </w:rPr>
      </w:pPr>
    </w:p>
    <w:p w:rsidR="00F34A62" w:rsidRDefault="00F34A62" w:rsidP="00F34A62">
      <w:pPr>
        <w:spacing w:after="200" w:line="276" w:lineRule="auto"/>
        <w:jc w:val="center"/>
        <w:rPr>
          <w:rStyle w:val="Garamond"/>
          <w:i/>
          <w:sz w:val="28"/>
          <w:szCs w:val="28"/>
        </w:rPr>
      </w:pPr>
      <w:r w:rsidRPr="00F4179B">
        <w:rPr>
          <w:rStyle w:val="Garamond"/>
          <w:i/>
          <w:sz w:val="28"/>
          <w:szCs w:val="28"/>
        </w:rPr>
        <w:br w:type="page"/>
      </w:r>
      <w:r>
        <w:rPr>
          <w:rStyle w:val="Rimandonotaapidipagina"/>
          <w:rFonts w:ascii="Garamond" w:hAnsi="Garamond"/>
          <w:i/>
          <w:sz w:val="28"/>
          <w:szCs w:val="28"/>
        </w:rPr>
        <w:lastRenderedPageBreak/>
        <w:footnoteReference w:id="1"/>
      </w:r>
    </w:p>
    <w:p w:rsidR="00F34A62" w:rsidRDefault="00F34A62" w:rsidP="00F34A62">
      <w:pPr>
        <w:spacing w:after="200" w:line="276" w:lineRule="auto"/>
        <w:jc w:val="center"/>
        <w:rPr>
          <w:rStyle w:val="Garamond"/>
          <w:i/>
          <w:sz w:val="28"/>
          <w:szCs w:val="28"/>
        </w:rPr>
      </w:pPr>
    </w:p>
    <w:p w:rsidR="00F34A62" w:rsidRDefault="00F34A62" w:rsidP="00F34A62">
      <w:pPr>
        <w:spacing w:after="200" w:line="276" w:lineRule="auto"/>
        <w:jc w:val="center"/>
        <w:rPr>
          <w:rStyle w:val="Garamond"/>
          <w:i/>
          <w:sz w:val="28"/>
          <w:szCs w:val="28"/>
        </w:rPr>
      </w:pPr>
    </w:p>
    <w:p w:rsidR="00F34A62" w:rsidRDefault="00F34A62" w:rsidP="00F34A62">
      <w:pPr>
        <w:spacing w:after="200" w:line="276" w:lineRule="auto"/>
        <w:jc w:val="center"/>
        <w:rPr>
          <w:rStyle w:val="Garamond"/>
          <w:i/>
          <w:sz w:val="28"/>
          <w:szCs w:val="28"/>
        </w:rPr>
      </w:pPr>
    </w:p>
    <w:p w:rsidR="00F34A62" w:rsidRDefault="00F34A62" w:rsidP="00F34A62">
      <w:pPr>
        <w:spacing w:after="200" w:line="276" w:lineRule="auto"/>
        <w:jc w:val="center"/>
        <w:rPr>
          <w:rStyle w:val="Garamond"/>
          <w:i/>
          <w:sz w:val="28"/>
          <w:szCs w:val="28"/>
        </w:rPr>
      </w:pPr>
    </w:p>
    <w:p w:rsidR="00F34A62" w:rsidRDefault="00F34A62" w:rsidP="00F34A62">
      <w:pPr>
        <w:spacing w:after="200" w:line="276" w:lineRule="auto"/>
        <w:jc w:val="center"/>
        <w:rPr>
          <w:rStyle w:val="Garamond"/>
          <w:i/>
          <w:sz w:val="28"/>
          <w:szCs w:val="28"/>
        </w:rPr>
      </w:pPr>
    </w:p>
    <w:p w:rsidR="00F34A62" w:rsidRDefault="00F34A62" w:rsidP="00F34A62">
      <w:pPr>
        <w:spacing w:after="200" w:line="276" w:lineRule="auto"/>
        <w:jc w:val="center"/>
        <w:rPr>
          <w:rStyle w:val="Garamond"/>
          <w:i/>
          <w:sz w:val="28"/>
          <w:szCs w:val="28"/>
        </w:rPr>
      </w:pPr>
    </w:p>
    <w:p w:rsidR="00F34A62" w:rsidRDefault="00F34A62" w:rsidP="00F34A62">
      <w:pPr>
        <w:spacing w:after="200" w:line="276" w:lineRule="auto"/>
        <w:jc w:val="center"/>
        <w:rPr>
          <w:rStyle w:val="Garamond"/>
          <w:i/>
          <w:sz w:val="28"/>
          <w:szCs w:val="28"/>
        </w:rPr>
      </w:pPr>
    </w:p>
    <w:p w:rsidR="00F34A62" w:rsidRDefault="00F34A62" w:rsidP="00F34A62">
      <w:pPr>
        <w:spacing w:after="200" w:line="276" w:lineRule="auto"/>
        <w:jc w:val="center"/>
        <w:rPr>
          <w:rStyle w:val="Garamond"/>
          <w:i/>
          <w:sz w:val="28"/>
          <w:szCs w:val="28"/>
        </w:rPr>
      </w:pPr>
    </w:p>
    <w:p w:rsidR="00F34A62" w:rsidRDefault="00F34A62" w:rsidP="00F34A62">
      <w:pPr>
        <w:spacing w:after="200" w:line="276" w:lineRule="auto"/>
        <w:jc w:val="center"/>
        <w:rPr>
          <w:rStyle w:val="Garamond"/>
          <w:i/>
          <w:sz w:val="28"/>
          <w:szCs w:val="28"/>
        </w:rPr>
      </w:pPr>
    </w:p>
    <w:p w:rsidR="00F34A62" w:rsidRDefault="00F34A62" w:rsidP="00F34A62">
      <w:pPr>
        <w:spacing w:after="200" w:line="276" w:lineRule="auto"/>
        <w:jc w:val="center"/>
        <w:rPr>
          <w:rStyle w:val="Garamond"/>
          <w:i/>
          <w:sz w:val="28"/>
          <w:szCs w:val="28"/>
        </w:rPr>
      </w:pPr>
    </w:p>
    <w:p w:rsidR="00F34A62" w:rsidRDefault="00F34A62" w:rsidP="00F34A62">
      <w:pPr>
        <w:spacing w:after="200" w:line="276" w:lineRule="auto"/>
        <w:jc w:val="center"/>
        <w:rPr>
          <w:rStyle w:val="Garamond"/>
          <w:i/>
          <w:sz w:val="28"/>
          <w:szCs w:val="28"/>
        </w:rPr>
      </w:pPr>
    </w:p>
    <w:p w:rsidR="00F34A62" w:rsidRDefault="00F34A62" w:rsidP="00F34A62">
      <w:pPr>
        <w:spacing w:after="200" w:line="276" w:lineRule="auto"/>
        <w:jc w:val="center"/>
        <w:rPr>
          <w:rStyle w:val="Garamond"/>
          <w:i/>
          <w:sz w:val="28"/>
          <w:szCs w:val="28"/>
        </w:rPr>
      </w:pPr>
    </w:p>
    <w:p w:rsidR="00F34A62" w:rsidRDefault="00F34A62" w:rsidP="00F34A62">
      <w:pPr>
        <w:spacing w:after="200" w:line="276" w:lineRule="auto"/>
        <w:jc w:val="center"/>
        <w:rPr>
          <w:rStyle w:val="Garamond"/>
          <w:i/>
          <w:sz w:val="28"/>
          <w:szCs w:val="28"/>
        </w:rPr>
      </w:pPr>
    </w:p>
    <w:p w:rsidR="00F34A62" w:rsidRDefault="00F34A62" w:rsidP="00F34A62">
      <w:pPr>
        <w:spacing w:after="200" w:line="276" w:lineRule="auto"/>
        <w:jc w:val="center"/>
        <w:rPr>
          <w:rStyle w:val="Garamond"/>
          <w:i/>
          <w:sz w:val="28"/>
          <w:szCs w:val="28"/>
        </w:rPr>
      </w:pPr>
    </w:p>
    <w:p w:rsidR="00F34A62" w:rsidRDefault="00F34A62" w:rsidP="00F34A62">
      <w:pPr>
        <w:spacing w:after="200" w:line="276" w:lineRule="auto"/>
        <w:jc w:val="center"/>
        <w:rPr>
          <w:rStyle w:val="Garamond"/>
          <w:i/>
          <w:sz w:val="28"/>
          <w:szCs w:val="28"/>
        </w:rPr>
      </w:pPr>
    </w:p>
    <w:p w:rsidR="00F34A62" w:rsidRDefault="00F34A62" w:rsidP="00F34A62">
      <w:pPr>
        <w:spacing w:after="200" w:line="276" w:lineRule="auto"/>
        <w:jc w:val="center"/>
        <w:rPr>
          <w:rStyle w:val="Garamond"/>
          <w:i/>
          <w:sz w:val="28"/>
          <w:szCs w:val="28"/>
        </w:rPr>
      </w:pPr>
    </w:p>
    <w:p w:rsidR="00F34A62" w:rsidRDefault="00F34A62" w:rsidP="00F34A62">
      <w:pPr>
        <w:spacing w:after="200" w:line="276" w:lineRule="auto"/>
        <w:jc w:val="center"/>
        <w:rPr>
          <w:rStyle w:val="Garamond"/>
          <w:sz w:val="28"/>
          <w:szCs w:val="28"/>
          <w:lang w:val="en-GB"/>
        </w:rPr>
      </w:pPr>
    </w:p>
    <w:p w:rsidR="00F34A62" w:rsidRPr="00F34A62" w:rsidRDefault="00F34A62" w:rsidP="00F34A62">
      <w:pPr>
        <w:spacing w:after="200" w:line="276" w:lineRule="auto"/>
        <w:jc w:val="center"/>
        <w:rPr>
          <w:rStyle w:val="Garamond"/>
          <w:i/>
          <w:sz w:val="32"/>
          <w:szCs w:val="32"/>
        </w:rPr>
      </w:pPr>
      <w:r w:rsidRPr="0061758B">
        <w:rPr>
          <w:rStyle w:val="Garamond"/>
          <w:i/>
          <w:sz w:val="28"/>
          <w:szCs w:val="28"/>
        </w:rPr>
        <w:br w:type="page"/>
      </w:r>
      <w:r w:rsidRPr="0061758B">
        <w:rPr>
          <w:rStyle w:val="Garamond"/>
          <w:i/>
          <w:sz w:val="32"/>
          <w:szCs w:val="32"/>
        </w:rPr>
        <w:lastRenderedPageBreak/>
        <w:t>Indice</w:t>
      </w:r>
    </w:p>
    <w:p w:rsidR="00F34A62" w:rsidRPr="00B1118E" w:rsidRDefault="00F34A62" w:rsidP="00F34A62">
      <w:pPr>
        <w:pStyle w:val="Nessunaspaziatura"/>
        <w:rPr>
          <w:rStyle w:val="Garamond"/>
          <w:rFonts w:ascii="Times New Roman" w:hAnsi="Times New Roman"/>
          <w:i/>
          <w:sz w:val="28"/>
          <w:szCs w:val="28"/>
        </w:rPr>
      </w:pPr>
      <w:r w:rsidRPr="00B1118E">
        <w:rPr>
          <w:rStyle w:val="Garamond"/>
          <w:rFonts w:ascii="Times New Roman" w:hAnsi="Times New Roman"/>
          <w:i/>
          <w:sz w:val="28"/>
          <w:szCs w:val="28"/>
        </w:rPr>
        <w:t xml:space="preserve">Prefazione </w:t>
      </w:r>
    </w:p>
    <w:p w:rsidR="00F34A62" w:rsidRPr="00B1118E" w:rsidRDefault="00F34A62" w:rsidP="00F34A62">
      <w:pPr>
        <w:pStyle w:val="Nessunaspaziatura"/>
        <w:jc w:val="right"/>
        <w:rPr>
          <w:rStyle w:val="Garamond"/>
          <w:i/>
          <w:sz w:val="28"/>
          <w:szCs w:val="28"/>
        </w:rPr>
      </w:pPr>
      <w:r>
        <w:rPr>
          <w:rStyle w:val="Garamond"/>
          <w:i/>
          <w:sz w:val="28"/>
          <w:szCs w:val="28"/>
        </w:rPr>
        <w:t>7</w:t>
      </w:r>
    </w:p>
    <w:p w:rsidR="00F34A62" w:rsidRDefault="00F34A62" w:rsidP="00F34A62">
      <w:pPr>
        <w:pStyle w:val="Nessunaspaziatura"/>
        <w:rPr>
          <w:rStyle w:val="Garamond"/>
          <w:rFonts w:ascii="Times New Roman" w:hAnsi="Times New Roman"/>
          <w:i/>
        </w:rPr>
      </w:pPr>
      <w:r w:rsidRPr="00F4179B">
        <w:rPr>
          <w:rStyle w:val="Garamond"/>
          <w:rFonts w:ascii="Times New Roman" w:hAnsi="Times New Roman"/>
          <w:i/>
        </w:rPr>
        <w:t>Capitolo 1</w:t>
      </w:r>
    </w:p>
    <w:p w:rsidR="00F34A62" w:rsidRPr="00F4179B" w:rsidRDefault="00F34A62" w:rsidP="00F34A62">
      <w:pPr>
        <w:pStyle w:val="Nessunaspaziatura"/>
        <w:jc w:val="right"/>
        <w:rPr>
          <w:rStyle w:val="Garamond"/>
          <w:rFonts w:ascii="Times New Roman" w:hAnsi="Times New Roman"/>
        </w:rPr>
      </w:pPr>
      <w:r>
        <w:rPr>
          <w:rStyle w:val="Garamond"/>
          <w:rFonts w:ascii="Times New Roman" w:hAnsi="Times New Roman"/>
        </w:rPr>
        <w:t>11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 xml:space="preserve">Diagnosi e </w:t>
      </w:r>
      <w:r>
        <w:rPr>
          <w:rStyle w:val="Garamond"/>
          <w:rFonts w:ascii="Times New Roman" w:hAnsi="Times New Roman"/>
        </w:rPr>
        <w:t>parcellizzazione</w:t>
      </w:r>
      <w:r w:rsidRPr="00F4179B">
        <w:rPr>
          <w:rStyle w:val="Garamond"/>
          <w:rFonts w:ascii="Times New Roman" w:hAnsi="Times New Roman"/>
        </w:rPr>
        <w:t xml:space="preserve"> dei saperi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Gli errori diagnostici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I costi delle diagnosi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Il modello bio-medico e l’approccio matematico-statistico</w:t>
      </w:r>
    </w:p>
    <w:p w:rsidR="00F34A62" w:rsidRPr="00F4179B" w:rsidRDefault="00F34A62" w:rsidP="00F34A62">
      <w:pPr>
        <w:pStyle w:val="Nessunaspaziatura"/>
        <w:rPr>
          <w:rStyle w:val="Garamond"/>
          <w:rFonts w:ascii="Times New Roman" w:hAnsi="Times New Roman"/>
          <w:i/>
        </w:rPr>
      </w:pPr>
    </w:p>
    <w:p w:rsidR="00F34A62" w:rsidRDefault="00F34A62" w:rsidP="00F34A62">
      <w:pPr>
        <w:pStyle w:val="Nessunaspaziatura"/>
        <w:rPr>
          <w:rStyle w:val="Garamond"/>
          <w:rFonts w:ascii="Times New Roman" w:hAnsi="Times New Roman"/>
          <w:i/>
        </w:rPr>
      </w:pPr>
      <w:r w:rsidRPr="00F4179B">
        <w:rPr>
          <w:rStyle w:val="Garamond"/>
          <w:rFonts w:ascii="Times New Roman" w:hAnsi="Times New Roman"/>
          <w:i/>
        </w:rPr>
        <w:t xml:space="preserve">Capitolo 2 </w:t>
      </w:r>
    </w:p>
    <w:p w:rsidR="00F34A62" w:rsidRPr="00F4179B" w:rsidRDefault="00F34A62" w:rsidP="00F34A62">
      <w:pPr>
        <w:pStyle w:val="Nessunaspaziatura"/>
        <w:jc w:val="right"/>
        <w:rPr>
          <w:rStyle w:val="Garamond"/>
          <w:rFonts w:ascii="Times New Roman" w:hAnsi="Times New Roman"/>
          <w:i/>
        </w:rPr>
      </w:pPr>
      <w:r>
        <w:rPr>
          <w:rStyle w:val="Garamond"/>
          <w:rFonts w:ascii="Times New Roman" w:hAnsi="Times New Roman"/>
          <w:i/>
        </w:rPr>
        <w:t>21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I dilemmi della medicina moderna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L’arte dell’argomentazione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Le tecniche di persuasione e di propaganda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</w:p>
    <w:p w:rsidR="00F34A62" w:rsidRDefault="00F34A62" w:rsidP="00F34A62">
      <w:pPr>
        <w:pStyle w:val="Nessunaspaziatura"/>
        <w:rPr>
          <w:rStyle w:val="Garamond"/>
          <w:rFonts w:ascii="Times New Roman" w:hAnsi="Times New Roman"/>
          <w:i/>
        </w:rPr>
      </w:pPr>
      <w:r w:rsidRPr="00F4179B">
        <w:rPr>
          <w:rStyle w:val="Garamond"/>
          <w:rFonts w:ascii="Times New Roman" w:hAnsi="Times New Roman"/>
          <w:i/>
        </w:rPr>
        <w:t>Capitolo 3</w:t>
      </w:r>
    </w:p>
    <w:p w:rsidR="00F34A62" w:rsidRPr="00F4179B" w:rsidRDefault="00F34A62" w:rsidP="00F34A62">
      <w:pPr>
        <w:pStyle w:val="Nessunaspaziatura"/>
        <w:jc w:val="right"/>
        <w:rPr>
          <w:rStyle w:val="Garamond"/>
          <w:rFonts w:ascii="Times New Roman" w:hAnsi="Times New Roman"/>
          <w:i/>
        </w:rPr>
      </w:pPr>
      <w:r>
        <w:rPr>
          <w:rStyle w:val="Garamond"/>
          <w:rFonts w:ascii="Times New Roman" w:hAnsi="Times New Roman"/>
          <w:i/>
        </w:rPr>
        <w:t>33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  <w:i/>
        </w:rPr>
      </w:pPr>
      <w:r w:rsidRPr="00F4179B">
        <w:rPr>
          <w:rStyle w:val="Garamond"/>
          <w:rFonts w:ascii="Times New Roman" w:hAnsi="Times New Roman"/>
        </w:rPr>
        <w:t xml:space="preserve">La logica e i </w:t>
      </w:r>
      <w:r w:rsidRPr="00F4179B">
        <w:rPr>
          <w:rStyle w:val="Garamond"/>
          <w:rFonts w:ascii="Times New Roman" w:hAnsi="Times New Roman"/>
          <w:i/>
        </w:rPr>
        <w:t>saperi maggiori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Il ragionamento deduttivo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Gli errori di ragionamento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</w:p>
    <w:p w:rsidR="00F34A62" w:rsidRDefault="00F34A62" w:rsidP="00F34A62">
      <w:pPr>
        <w:pStyle w:val="Nessunaspaziatura"/>
        <w:rPr>
          <w:rStyle w:val="Garamond"/>
          <w:rFonts w:ascii="Times New Roman" w:hAnsi="Times New Roman"/>
          <w:i/>
        </w:rPr>
      </w:pPr>
      <w:r w:rsidRPr="00F4179B">
        <w:rPr>
          <w:rStyle w:val="Garamond"/>
          <w:rFonts w:ascii="Times New Roman" w:hAnsi="Times New Roman"/>
          <w:i/>
        </w:rPr>
        <w:t>Capitolo 4</w:t>
      </w:r>
    </w:p>
    <w:p w:rsidR="00F34A62" w:rsidRPr="00F4179B" w:rsidRDefault="00F34A62" w:rsidP="00F34A62">
      <w:pPr>
        <w:pStyle w:val="Nessunaspaziatura"/>
        <w:jc w:val="right"/>
        <w:rPr>
          <w:rStyle w:val="Garamond"/>
          <w:rFonts w:ascii="Times New Roman" w:hAnsi="Times New Roman"/>
          <w:i/>
        </w:rPr>
      </w:pPr>
      <w:r>
        <w:rPr>
          <w:rStyle w:val="Garamond"/>
          <w:rFonts w:ascii="Times New Roman" w:hAnsi="Times New Roman"/>
          <w:i/>
        </w:rPr>
        <w:t>53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 xml:space="preserve">La medicina come </w:t>
      </w:r>
      <w:r w:rsidRPr="00F4179B">
        <w:rPr>
          <w:rStyle w:val="Garamond"/>
          <w:rFonts w:ascii="Times New Roman" w:hAnsi="Times New Roman"/>
          <w:i/>
        </w:rPr>
        <w:t xml:space="preserve">sapere minore 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Il calcolo delle idee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>
        <w:rPr>
          <w:rStyle w:val="Garamond"/>
          <w:rFonts w:ascii="Times New Roman" w:hAnsi="Times New Roman"/>
        </w:rPr>
        <w:t>Le leggi del pensiero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  <w:i/>
        </w:rPr>
      </w:pPr>
    </w:p>
    <w:p w:rsidR="00F34A62" w:rsidRDefault="00F34A62" w:rsidP="00F34A62">
      <w:pPr>
        <w:pStyle w:val="Nessunaspaziatura"/>
        <w:rPr>
          <w:rStyle w:val="Garamond"/>
          <w:rFonts w:ascii="Times New Roman" w:hAnsi="Times New Roman"/>
          <w:i/>
        </w:rPr>
      </w:pPr>
      <w:r w:rsidRPr="00F4179B">
        <w:rPr>
          <w:rStyle w:val="Garamond"/>
          <w:rFonts w:ascii="Times New Roman" w:hAnsi="Times New Roman"/>
          <w:i/>
        </w:rPr>
        <w:t xml:space="preserve">Capitolo 5 </w:t>
      </w:r>
    </w:p>
    <w:p w:rsidR="00F34A62" w:rsidRPr="00F4179B" w:rsidRDefault="00F34A62" w:rsidP="00F34A62">
      <w:pPr>
        <w:pStyle w:val="Nessunaspaziatura"/>
        <w:jc w:val="right"/>
        <w:rPr>
          <w:rStyle w:val="Garamond"/>
          <w:rFonts w:ascii="Times New Roman" w:hAnsi="Times New Roman"/>
          <w:i/>
        </w:rPr>
      </w:pPr>
      <w:r>
        <w:rPr>
          <w:rStyle w:val="Garamond"/>
          <w:rFonts w:ascii="Times New Roman" w:hAnsi="Times New Roman"/>
          <w:i/>
        </w:rPr>
        <w:t>67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 xml:space="preserve">La logica dell’incertezza 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Morte, malattie e regolarità meta-individuali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Il paradosso dell’evento singolare</w:t>
      </w:r>
    </w:p>
    <w:p w:rsidR="00F34A62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L’invenzione delle malattie e i medici numerici</w:t>
      </w:r>
    </w:p>
    <w:p w:rsidR="00F34A62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</w:p>
    <w:p w:rsidR="00F34A62" w:rsidRDefault="00F34A62" w:rsidP="00F34A62">
      <w:pPr>
        <w:pStyle w:val="Nessunaspaziatura"/>
        <w:rPr>
          <w:rStyle w:val="Garamond"/>
          <w:rFonts w:ascii="Times New Roman" w:hAnsi="Times New Roman"/>
          <w:i/>
        </w:rPr>
      </w:pPr>
      <w:r w:rsidRPr="00F4179B">
        <w:rPr>
          <w:rStyle w:val="Garamond"/>
          <w:rFonts w:ascii="Times New Roman" w:hAnsi="Times New Roman"/>
          <w:i/>
        </w:rPr>
        <w:t>Capitolo 6</w:t>
      </w:r>
    </w:p>
    <w:p w:rsidR="00F34A62" w:rsidRPr="00F4179B" w:rsidRDefault="00F34A62" w:rsidP="00F34A62">
      <w:pPr>
        <w:pStyle w:val="Nessunaspaziatura"/>
        <w:jc w:val="right"/>
        <w:rPr>
          <w:rStyle w:val="Garamond"/>
          <w:rFonts w:ascii="Times New Roman" w:hAnsi="Times New Roman"/>
          <w:i/>
        </w:rPr>
      </w:pPr>
      <w:r>
        <w:rPr>
          <w:rStyle w:val="Garamond"/>
          <w:rFonts w:ascii="Times New Roman" w:hAnsi="Times New Roman"/>
          <w:i/>
        </w:rPr>
        <w:t>85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 xml:space="preserve">La logica delle tassonomie e delle classificazioni 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>
        <w:rPr>
          <w:rStyle w:val="Garamond"/>
          <w:rFonts w:ascii="Times New Roman" w:hAnsi="Times New Roman"/>
        </w:rPr>
        <w:t>Le o</w:t>
      </w:r>
      <w:r w:rsidRPr="00F4179B">
        <w:rPr>
          <w:rStyle w:val="Garamond"/>
          <w:rFonts w:ascii="Times New Roman" w:hAnsi="Times New Roman"/>
        </w:rPr>
        <w:t>ntologie mediche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</w:p>
    <w:p w:rsidR="00F34A62" w:rsidRDefault="00F34A62" w:rsidP="00F34A62">
      <w:pPr>
        <w:pStyle w:val="Nessunaspaziatura"/>
        <w:rPr>
          <w:rStyle w:val="Garamond"/>
          <w:rFonts w:ascii="Times New Roman" w:hAnsi="Times New Roman"/>
          <w:i/>
        </w:rPr>
      </w:pPr>
      <w:r w:rsidRPr="00F4179B">
        <w:rPr>
          <w:rStyle w:val="Garamond"/>
          <w:rFonts w:ascii="Times New Roman" w:hAnsi="Times New Roman"/>
          <w:i/>
        </w:rPr>
        <w:t xml:space="preserve">Capitolo 7 </w:t>
      </w:r>
    </w:p>
    <w:p w:rsidR="00F34A62" w:rsidRPr="00F4179B" w:rsidRDefault="00F34A62" w:rsidP="00F34A62">
      <w:pPr>
        <w:pStyle w:val="Nessunaspaziatura"/>
        <w:jc w:val="right"/>
        <w:rPr>
          <w:rStyle w:val="Garamond"/>
          <w:rFonts w:ascii="Times New Roman" w:hAnsi="Times New Roman"/>
          <w:i/>
        </w:rPr>
      </w:pPr>
      <w:r>
        <w:rPr>
          <w:rStyle w:val="Garamond"/>
          <w:rFonts w:ascii="Times New Roman" w:hAnsi="Times New Roman"/>
          <w:i/>
        </w:rPr>
        <w:t>99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Le anime della probabilità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Probabilità naïve e probabilità scientifica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Il calcolo della probabilità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Il teorema di Bayes e l’inversione delle probabilità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Le probabilità totali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Belief revision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lastRenderedPageBreak/>
        <w:t>Indipendenza statistica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</w:p>
    <w:p w:rsidR="00F34A62" w:rsidRDefault="00F34A62" w:rsidP="00F34A62">
      <w:pPr>
        <w:pStyle w:val="Nessunaspaziatura"/>
        <w:rPr>
          <w:rStyle w:val="Garamond"/>
          <w:rFonts w:ascii="Times New Roman" w:hAnsi="Times New Roman"/>
          <w:i/>
        </w:rPr>
      </w:pPr>
      <w:r w:rsidRPr="00F4179B">
        <w:rPr>
          <w:rStyle w:val="Garamond"/>
          <w:rFonts w:ascii="Times New Roman" w:hAnsi="Times New Roman"/>
          <w:i/>
        </w:rPr>
        <w:t>Capitolo 8</w:t>
      </w:r>
    </w:p>
    <w:p w:rsidR="00F34A62" w:rsidRPr="00F4179B" w:rsidRDefault="00F34A62" w:rsidP="00F34A62">
      <w:pPr>
        <w:pStyle w:val="Nessunaspaziatura"/>
        <w:jc w:val="right"/>
        <w:rPr>
          <w:rStyle w:val="Garamond"/>
          <w:rFonts w:ascii="Times New Roman" w:hAnsi="Times New Roman"/>
        </w:rPr>
      </w:pPr>
      <w:r>
        <w:rPr>
          <w:rStyle w:val="Garamond"/>
          <w:rFonts w:ascii="Times New Roman" w:hAnsi="Times New Roman"/>
          <w:i/>
        </w:rPr>
        <w:t>121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La clinica e il ragionamento indiziario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Abduzione,</w:t>
      </w:r>
      <w:r w:rsidRPr="00F4179B">
        <w:rPr>
          <w:rStyle w:val="Garamond"/>
          <w:rFonts w:ascii="Times New Roman" w:hAnsi="Times New Roman"/>
          <w:i/>
        </w:rPr>
        <w:t xml:space="preserve"> Circumscription, </w:t>
      </w:r>
      <w:r w:rsidRPr="00F4179B">
        <w:rPr>
          <w:rStyle w:val="Garamond"/>
          <w:rFonts w:ascii="Times New Roman" w:hAnsi="Times New Roman"/>
        </w:rPr>
        <w:t>tassonomie  e ragionamento diagnostico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Il ragionamento per default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Il modello dell’attore razionale e la diagnosi bayesiana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</w:p>
    <w:p w:rsidR="00F34A62" w:rsidRDefault="00F34A62" w:rsidP="00F34A62">
      <w:pPr>
        <w:pStyle w:val="Nessunaspaziatura"/>
        <w:rPr>
          <w:rStyle w:val="Garamond"/>
          <w:rFonts w:ascii="Times New Roman" w:hAnsi="Times New Roman"/>
          <w:i/>
        </w:rPr>
      </w:pPr>
      <w:r w:rsidRPr="00F4179B">
        <w:rPr>
          <w:rStyle w:val="Garamond"/>
          <w:rFonts w:ascii="Times New Roman" w:hAnsi="Times New Roman"/>
          <w:i/>
        </w:rPr>
        <w:t>Capitolo 9</w:t>
      </w:r>
    </w:p>
    <w:p w:rsidR="00F34A62" w:rsidRPr="00F4179B" w:rsidRDefault="00F34A62" w:rsidP="00F34A62">
      <w:pPr>
        <w:pStyle w:val="Nessunaspaziatura"/>
        <w:jc w:val="right"/>
        <w:rPr>
          <w:rStyle w:val="Garamond"/>
          <w:rFonts w:ascii="Times New Roman" w:hAnsi="Times New Roman"/>
          <w:i/>
        </w:rPr>
      </w:pPr>
      <w:r>
        <w:rPr>
          <w:rStyle w:val="Garamond"/>
          <w:rFonts w:ascii="Times New Roman" w:hAnsi="Times New Roman"/>
          <w:i/>
        </w:rPr>
        <w:t>135</w:t>
      </w:r>
    </w:p>
    <w:p w:rsidR="00F34A62" w:rsidRPr="00F4179B" w:rsidRDefault="00F34A62" w:rsidP="00F34A62">
      <w:pPr>
        <w:pStyle w:val="Nessunaspaziatura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ab/>
        <w:t>Test diagnostici</w:t>
      </w:r>
      <w:r>
        <w:rPr>
          <w:rStyle w:val="Garamond"/>
          <w:rFonts w:ascii="Times New Roman" w:hAnsi="Times New Roman"/>
        </w:rPr>
        <w:t>, modello bio-medico</w:t>
      </w:r>
      <w:r w:rsidRPr="00F4179B">
        <w:rPr>
          <w:rStyle w:val="Garamond"/>
          <w:rFonts w:ascii="Times New Roman" w:hAnsi="Times New Roman"/>
        </w:rPr>
        <w:t xml:space="preserve"> e probabilità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Sensibilità, specificità</w:t>
      </w:r>
      <w:r>
        <w:rPr>
          <w:rStyle w:val="Garamond"/>
          <w:rFonts w:ascii="Times New Roman" w:hAnsi="Times New Roman"/>
        </w:rPr>
        <w:t>,</w:t>
      </w:r>
      <w:r w:rsidRPr="00F4179B">
        <w:rPr>
          <w:rStyle w:val="Garamond"/>
          <w:rFonts w:ascii="Times New Roman" w:hAnsi="Times New Roman"/>
        </w:rPr>
        <w:t xml:space="preserve"> valori predittivi</w:t>
      </w:r>
      <w:r>
        <w:rPr>
          <w:rStyle w:val="Garamond"/>
          <w:rFonts w:ascii="Times New Roman" w:hAnsi="Times New Roman"/>
        </w:rPr>
        <w:t xml:space="preserve"> e probabilità condizionali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Odds e Odds Condizionali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Rapporto di verosimiglianza, odds pre-test, post-test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Odds ratio</w:t>
      </w:r>
    </w:p>
    <w:p w:rsidR="00F34A62" w:rsidRPr="00F4179B" w:rsidRDefault="00F34A62" w:rsidP="00F34A62">
      <w:pPr>
        <w:pStyle w:val="Nessunaspaziatura"/>
        <w:ind w:left="708"/>
        <w:rPr>
          <w:rFonts w:ascii="Times New Roman" w:hAnsi="Times New Roman"/>
        </w:rPr>
      </w:pPr>
      <w:r w:rsidRPr="00F4179B">
        <w:rPr>
          <w:rFonts w:ascii="Times New Roman" w:hAnsi="Times New Roman"/>
        </w:rPr>
        <w:t>Entropia, informazione e scelta dei test diagnostici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</w:p>
    <w:p w:rsidR="00F34A62" w:rsidRDefault="00F34A62" w:rsidP="00F34A62">
      <w:pPr>
        <w:pStyle w:val="Nessunaspaziatura"/>
        <w:rPr>
          <w:rStyle w:val="Garamond"/>
          <w:rFonts w:ascii="Times New Roman" w:hAnsi="Times New Roman"/>
          <w:i/>
        </w:rPr>
      </w:pPr>
      <w:r w:rsidRPr="00F4179B">
        <w:rPr>
          <w:rStyle w:val="Garamond"/>
          <w:rFonts w:ascii="Times New Roman" w:hAnsi="Times New Roman"/>
          <w:i/>
        </w:rPr>
        <w:t>Capitolo 1</w:t>
      </w:r>
      <w:r>
        <w:rPr>
          <w:rStyle w:val="Garamond"/>
          <w:rFonts w:ascii="Times New Roman" w:hAnsi="Times New Roman"/>
          <w:i/>
        </w:rPr>
        <w:t>0</w:t>
      </w:r>
    </w:p>
    <w:p w:rsidR="00F34A62" w:rsidRPr="00F4179B" w:rsidRDefault="00F34A62" w:rsidP="00F34A62">
      <w:pPr>
        <w:pStyle w:val="Nessunaspaziatura"/>
        <w:jc w:val="right"/>
        <w:rPr>
          <w:rStyle w:val="Garamond"/>
          <w:rFonts w:ascii="Times New Roman" w:hAnsi="Times New Roman"/>
          <w:i/>
        </w:rPr>
      </w:pPr>
      <w:r>
        <w:rPr>
          <w:rStyle w:val="Garamond"/>
          <w:rFonts w:ascii="Times New Roman" w:hAnsi="Times New Roman"/>
          <w:i/>
        </w:rPr>
        <w:t>151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 xml:space="preserve">Prevalenza e probabilità </w:t>
      </w:r>
      <w:r w:rsidRPr="00F4179B">
        <w:rPr>
          <w:rStyle w:val="Garamond"/>
          <w:rFonts w:ascii="Times New Roman" w:hAnsi="Times New Roman"/>
          <w:i/>
        </w:rPr>
        <w:t>a priori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La fallacia della “capacità”</w:t>
      </w:r>
    </w:p>
    <w:p w:rsidR="00F34A62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Gli errori di mis-classificazione. Il rischio bayesiano.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>
        <w:rPr>
          <w:rStyle w:val="Garamond"/>
          <w:rFonts w:ascii="Times New Roman" w:hAnsi="Times New Roman"/>
        </w:rPr>
        <w:t>Il peso degli errori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  <w:r w:rsidRPr="00F4179B">
        <w:rPr>
          <w:rStyle w:val="Garamond"/>
          <w:rFonts w:ascii="Times New Roman" w:hAnsi="Times New Roman"/>
        </w:rPr>
        <w:t>Il significato del “non”</w:t>
      </w:r>
      <w:r>
        <w:rPr>
          <w:rStyle w:val="Garamond"/>
          <w:rFonts w:ascii="Times New Roman" w:hAnsi="Times New Roman"/>
        </w:rPr>
        <w:t xml:space="preserve"> ed i ragionamenti controfattuali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</w:p>
    <w:p w:rsidR="00F34A62" w:rsidRDefault="00F34A62" w:rsidP="00F34A62">
      <w:pPr>
        <w:pStyle w:val="Nessunaspaziatura"/>
        <w:rPr>
          <w:rStyle w:val="Garamond"/>
          <w:rFonts w:ascii="Times New Roman" w:hAnsi="Times New Roman"/>
          <w:i/>
        </w:rPr>
      </w:pPr>
      <w:r w:rsidRPr="00F4179B">
        <w:rPr>
          <w:rStyle w:val="Garamond"/>
          <w:rFonts w:ascii="Times New Roman" w:hAnsi="Times New Roman"/>
          <w:i/>
        </w:rPr>
        <w:t>Conclusioni e sviluppi futuri</w:t>
      </w:r>
    </w:p>
    <w:p w:rsidR="00F34A62" w:rsidRPr="00F4179B" w:rsidRDefault="00F34A62" w:rsidP="00F34A62">
      <w:pPr>
        <w:pStyle w:val="Nessunaspaziatura"/>
        <w:jc w:val="right"/>
        <w:rPr>
          <w:rStyle w:val="Garamond"/>
          <w:rFonts w:ascii="Times New Roman" w:hAnsi="Times New Roman"/>
        </w:rPr>
      </w:pPr>
      <w:r>
        <w:rPr>
          <w:rStyle w:val="Garamond"/>
          <w:rFonts w:ascii="Times New Roman" w:hAnsi="Times New Roman"/>
          <w:i/>
        </w:rPr>
        <w:t>177</w:t>
      </w:r>
    </w:p>
    <w:p w:rsidR="00F34A62" w:rsidRDefault="00F34A62" w:rsidP="00F34A62">
      <w:pPr>
        <w:pStyle w:val="Nessunaspaziatura"/>
        <w:rPr>
          <w:rStyle w:val="Garamond"/>
          <w:rFonts w:ascii="Times New Roman" w:hAnsi="Times New Roman"/>
          <w:i/>
        </w:rPr>
      </w:pPr>
      <w:r w:rsidRPr="00F4179B">
        <w:rPr>
          <w:rStyle w:val="Garamond"/>
          <w:rFonts w:ascii="Times New Roman" w:hAnsi="Times New Roman"/>
          <w:i/>
        </w:rPr>
        <w:t>Bibliografia</w:t>
      </w:r>
    </w:p>
    <w:p w:rsidR="00F34A62" w:rsidRPr="00F4179B" w:rsidRDefault="00F34A62" w:rsidP="00F34A62">
      <w:pPr>
        <w:pStyle w:val="Nessunaspaziatura"/>
        <w:jc w:val="right"/>
        <w:rPr>
          <w:rStyle w:val="Garamond"/>
          <w:rFonts w:ascii="Times New Roman" w:hAnsi="Times New Roman"/>
          <w:i/>
        </w:rPr>
      </w:pPr>
      <w:r>
        <w:rPr>
          <w:rStyle w:val="Garamond"/>
          <w:rFonts w:ascii="Times New Roman" w:hAnsi="Times New Roman"/>
          <w:i/>
        </w:rPr>
        <w:t>181</w:t>
      </w:r>
    </w:p>
    <w:p w:rsidR="00F34A62" w:rsidRPr="00F4179B" w:rsidRDefault="00F34A62" w:rsidP="00F34A62">
      <w:pPr>
        <w:pStyle w:val="Nessunaspaziatura"/>
        <w:ind w:left="708"/>
        <w:rPr>
          <w:rStyle w:val="Garamond"/>
          <w:rFonts w:ascii="Times New Roman" w:hAnsi="Times New Roman"/>
        </w:rPr>
      </w:pPr>
    </w:p>
    <w:p w:rsidR="00F34A62" w:rsidRDefault="00F34A62" w:rsidP="00F34A62">
      <w:pPr>
        <w:pStyle w:val="Nessunaspaziatura"/>
        <w:rPr>
          <w:rStyle w:val="Garamond"/>
          <w:rFonts w:ascii="Times New Roman" w:hAnsi="Times New Roman"/>
          <w:i/>
        </w:rPr>
      </w:pPr>
      <w:r w:rsidRPr="00F4179B">
        <w:rPr>
          <w:rStyle w:val="Garamond"/>
          <w:rFonts w:ascii="Times New Roman" w:hAnsi="Times New Roman"/>
          <w:i/>
        </w:rPr>
        <w:t xml:space="preserve">Appendice </w:t>
      </w:r>
    </w:p>
    <w:p w:rsidR="00F34A62" w:rsidRPr="00F4179B" w:rsidRDefault="00F34A62" w:rsidP="00F34A62">
      <w:pPr>
        <w:pStyle w:val="Nessunaspaziatura"/>
        <w:jc w:val="right"/>
        <w:rPr>
          <w:rStyle w:val="Garamond"/>
          <w:rFonts w:ascii="Times New Roman" w:hAnsi="Times New Roman"/>
          <w:i/>
        </w:rPr>
      </w:pPr>
      <w:r>
        <w:rPr>
          <w:rStyle w:val="Garamond"/>
          <w:rFonts w:ascii="Times New Roman" w:hAnsi="Times New Roman"/>
          <w:i/>
        </w:rPr>
        <w:t>183</w:t>
      </w:r>
    </w:p>
    <w:p w:rsidR="00F34A62" w:rsidRPr="00F4179B" w:rsidRDefault="00F34A62" w:rsidP="00F34A62">
      <w:pPr>
        <w:widowControl/>
        <w:suppressAutoHyphens w:val="0"/>
        <w:rPr>
          <w:rStyle w:val="Garamond"/>
          <w:rFonts w:eastAsia="Times New Roman"/>
          <w:b/>
          <w:sz w:val="28"/>
          <w:szCs w:val="28"/>
          <w:lang w:eastAsia="it-IT"/>
        </w:rPr>
      </w:pPr>
      <w:r w:rsidRPr="00F4179B">
        <w:rPr>
          <w:rStyle w:val="Garamond"/>
          <w:b/>
          <w:sz w:val="28"/>
          <w:szCs w:val="28"/>
        </w:rPr>
        <w:br w:type="page"/>
      </w:r>
    </w:p>
    <w:p w:rsidR="00F34A62" w:rsidRPr="00F4179B" w:rsidRDefault="00F34A62" w:rsidP="00F34A62">
      <w:pPr>
        <w:pStyle w:val="Nessunaspaziatura"/>
        <w:jc w:val="right"/>
        <w:rPr>
          <w:rStyle w:val="Garamond"/>
          <w:rFonts w:ascii="Times New Roman" w:hAnsi="Times New Roman"/>
          <w:sz w:val="16"/>
          <w:szCs w:val="16"/>
        </w:rPr>
      </w:pPr>
    </w:p>
    <w:p w:rsidR="00F34A62" w:rsidRPr="00F4179B" w:rsidRDefault="00F34A62" w:rsidP="00F34A62">
      <w:pPr>
        <w:pStyle w:val="Nessunaspaziatura"/>
        <w:jc w:val="right"/>
        <w:rPr>
          <w:rStyle w:val="Garamond"/>
          <w:rFonts w:ascii="Times New Roman" w:hAnsi="Times New Roman"/>
          <w:sz w:val="16"/>
          <w:szCs w:val="16"/>
        </w:rPr>
      </w:pPr>
    </w:p>
    <w:p w:rsidR="00F34A62" w:rsidRPr="00F4179B" w:rsidRDefault="00F34A62" w:rsidP="00F34A62">
      <w:pPr>
        <w:pStyle w:val="Nessunaspaziatura"/>
        <w:jc w:val="right"/>
        <w:rPr>
          <w:rStyle w:val="Garamond"/>
          <w:rFonts w:ascii="Times New Roman" w:hAnsi="Times New Roman"/>
          <w:sz w:val="16"/>
          <w:szCs w:val="16"/>
        </w:rPr>
      </w:pPr>
    </w:p>
    <w:p w:rsidR="00F34A62" w:rsidRPr="00F158A2" w:rsidRDefault="00F34A62" w:rsidP="00F34A62">
      <w:pPr>
        <w:pStyle w:val="Nessunaspaziatura"/>
        <w:jc w:val="right"/>
        <w:rPr>
          <w:rStyle w:val="Garamond"/>
          <w:rFonts w:ascii="Times New Roman" w:hAnsi="Times New Roman"/>
          <w:i/>
          <w:sz w:val="20"/>
          <w:szCs w:val="20"/>
        </w:rPr>
      </w:pPr>
      <w:r>
        <w:rPr>
          <w:rStyle w:val="Garamond"/>
          <w:rFonts w:ascii="Times New Roman" w:hAnsi="Times New Roman"/>
          <w:sz w:val="16"/>
          <w:szCs w:val="16"/>
        </w:rPr>
        <w:br w:type="page"/>
      </w:r>
      <w:r w:rsidRPr="00F158A2">
        <w:rPr>
          <w:rStyle w:val="Garamond"/>
          <w:rFonts w:ascii="Times New Roman" w:hAnsi="Times New Roman"/>
          <w:i/>
          <w:sz w:val="20"/>
          <w:szCs w:val="20"/>
        </w:rPr>
        <w:lastRenderedPageBreak/>
        <w:t>Non c’è nulla di più pratico di una buona teoria</w:t>
      </w:r>
    </w:p>
    <w:p w:rsidR="00F34A62" w:rsidRPr="00F4179B" w:rsidRDefault="00F34A62" w:rsidP="00F34A62">
      <w:pPr>
        <w:pStyle w:val="Nessunaspaziatura"/>
        <w:jc w:val="right"/>
        <w:rPr>
          <w:rStyle w:val="Garamond"/>
          <w:rFonts w:ascii="Times New Roman" w:hAnsi="Times New Roman"/>
          <w:sz w:val="16"/>
          <w:szCs w:val="16"/>
        </w:rPr>
      </w:pPr>
      <w:r w:rsidRPr="00F4179B">
        <w:rPr>
          <w:rStyle w:val="Garamond"/>
          <w:rFonts w:ascii="Times New Roman" w:hAnsi="Times New Roman"/>
          <w:sz w:val="16"/>
          <w:szCs w:val="16"/>
        </w:rPr>
        <w:t>Albert Einstein</w:t>
      </w:r>
    </w:p>
    <w:p w:rsidR="00F34A62" w:rsidRPr="00F4179B" w:rsidRDefault="00F34A62" w:rsidP="00F34A62">
      <w:pPr>
        <w:pStyle w:val="Nessunaspaziatura"/>
        <w:jc w:val="both"/>
        <w:rPr>
          <w:rStyle w:val="Garamond"/>
          <w:rFonts w:ascii="Times New Roman" w:hAnsi="Times New Roman"/>
          <w:b/>
          <w:sz w:val="28"/>
          <w:szCs w:val="28"/>
        </w:rPr>
      </w:pPr>
    </w:p>
    <w:p w:rsidR="00F34A62" w:rsidRPr="00F4179B" w:rsidRDefault="00F34A62" w:rsidP="00F34A62">
      <w:pPr>
        <w:pStyle w:val="Nessunaspaziatura"/>
        <w:jc w:val="both"/>
        <w:rPr>
          <w:rStyle w:val="Garamond"/>
          <w:rFonts w:ascii="Times New Roman" w:hAnsi="Times New Roman"/>
          <w:b/>
        </w:rPr>
      </w:pPr>
      <w:r w:rsidRPr="00F4179B">
        <w:rPr>
          <w:rStyle w:val="Garamond"/>
          <w:rFonts w:ascii="Times New Roman" w:hAnsi="Times New Roman"/>
          <w:b/>
        </w:rPr>
        <w:t>Prefazione</w:t>
      </w:r>
    </w:p>
    <w:p w:rsidR="00F34A62" w:rsidRPr="00F4179B" w:rsidRDefault="00F34A62" w:rsidP="00F34A62">
      <w:pPr>
        <w:pStyle w:val="Nessunaspaziatura"/>
        <w:jc w:val="both"/>
        <w:rPr>
          <w:rStyle w:val="Garamond"/>
          <w:rFonts w:ascii="Times New Roman" w:hAnsi="Times New Roman"/>
          <w:b/>
          <w:sz w:val="28"/>
          <w:szCs w:val="28"/>
        </w:rPr>
      </w:pPr>
    </w:p>
    <w:p w:rsidR="00F34A62" w:rsidRPr="00280357" w:rsidRDefault="00F34A62" w:rsidP="00F34A62">
      <w:pPr>
        <w:widowControl/>
        <w:suppressAutoHyphens w:val="0"/>
        <w:jc w:val="both"/>
        <w:rPr>
          <w:rStyle w:val="Garamond"/>
          <w:szCs w:val="24"/>
        </w:rPr>
      </w:pPr>
      <w:r w:rsidRPr="00280357">
        <w:rPr>
          <w:rStyle w:val="Garamond"/>
          <w:szCs w:val="24"/>
        </w:rPr>
        <w:t>La medicina moderna è caratterizzata dal fatto che il processo di care-cure vede la partecipazione di un crescente numero di professionisti: dai medici agli infermieri, dai tecnici di laboratorio ai fisioterapisti e riabilitatori, dai tecnici di radiologia ai logopedisti, dagli psicologi ai pedagogisti, e così via. Altri professionisti si occupano dei problemi della salute pur non essendo direttamente coinvolti nell’interazione con i pazienti: sociologi,</w:t>
      </w:r>
      <w:r>
        <w:rPr>
          <w:rStyle w:val="Garamond"/>
          <w:szCs w:val="24"/>
        </w:rPr>
        <w:t xml:space="preserve"> biologi, informatici,</w:t>
      </w:r>
      <w:r w:rsidRPr="00280357">
        <w:rPr>
          <w:rStyle w:val="Garamond"/>
          <w:szCs w:val="24"/>
        </w:rPr>
        <w:t xml:space="preserve"> matematici, economisti, statistici, igienisti, antropologi,</w:t>
      </w:r>
      <w:r>
        <w:rPr>
          <w:rStyle w:val="Garamond"/>
          <w:szCs w:val="24"/>
        </w:rPr>
        <w:t xml:space="preserve"> </w:t>
      </w:r>
      <w:r w:rsidRPr="00280357">
        <w:rPr>
          <w:rStyle w:val="Garamond"/>
          <w:szCs w:val="24"/>
        </w:rPr>
        <w:t xml:space="preserve">e così via. Ciascuna di queste professioni ha elaborato e continua ad elaborare propri modelli di interpretazione dei fenomeni legati alla salute e alla malattia, e proprie prassi di intervento, che configurano saperi specifici che vanno incontro ad una fisiologica </w:t>
      </w:r>
      <w:r w:rsidRPr="00280357">
        <w:rPr>
          <w:rStyle w:val="Garamond"/>
          <w:i/>
          <w:szCs w:val="24"/>
        </w:rPr>
        <w:t>deriva specialistica</w:t>
      </w:r>
      <w:r w:rsidRPr="00280357">
        <w:rPr>
          <w:rStyle w:val="Garamond"/>
          <w:szCs w:val="24"/>
        </w:rPr>
        <w:t xml:space="preserve">, il cosiddetto </w:t>
      </w:r>
      <w:r w:rsidRPr="00280357">
        <w:rPr>
          <w:rStyle w:val="Garamond"/>
          <w:i/>
          <w:szCs w:val="24"/>
        </w:rPr>
        <w:t>professionalismo</w:t>
      </w:r>
      <w:r w:rsidRPr="00280357">
        <w:rPr>
          <w:rStyle w:val="Garamond"/>
          <w:szCs w:val="24"/>
        </w:rPr>
        <w:t xml:space="preserve">.  </w:t>
      </w:r>
      <w:r>
        <w:rPr>
          <w:rStyle w:val="Garamond"/>
          <w:szCs w:val="24"/>
        </w:rPr>
        <w:t>In linea di principio</w:t>
      </w:r>
      <w:r w:rsidRPr="00280357">
        <w:rPr>
          <w:rStyle w:val="Garamond"/>
          <w:szCs w:val="24"/>
        </w:rPr>
        <w:t xml:space="preserve">, l’esistenza di diverse professioni dovrebbe creare l’opportunità di un approccio più completo alle complesse sfaccettature dei problemi dei pazienti, ma paradossalmente essa </w:t>
      </w:r>
      <w:r>
        <w:rPr>
          <w:rStyle w:val="Garamond"/>
          <w:szCs w:val="24"/>
        </w:rPr>
        <w:t xml:space="preserve">genera una progressiva </w:t>
      </w:r>
      <w:r w:rsidRPr="00DB282F">
        <w:rPr>
          <w:rStyle w:val="Garamond"/>
          <w:i/>
          <w:szCs w:val="24"/>
        </w:rPr>
        <w:t>frammentazione e parcellizzazione</w:t>
      </w:r>
      <w:r>
        <w:rPr>
          <w:rStyle w:val="Garamond"/>
          <w:szCs w:val="24"/>
        </w:rPr>
        <w:t xml:space="preserve"> del sapere medico, </w:t>
      </w:r>
      <w:r w:rsidRPr="00280357">
        <w:rPr>
          <w:rStyle w:val="Garamond"/>
          <w:szCs w:val="24"/>
        </w:rPr>
        <w:t xml:space="preserve">può moltiplicare le occasioni di errori diagnostico-terapeutici </w:t>
      </w:r>
      <w:r>
        <w:rPr>
          <w:rStyle w:val="Garamond"/>
          <w:szCs w:val="24"/>
        </w:rPr>
        <w:t xml:space="preserve">e </w:t>
      </w:r>
      <w:r w:rsidRPr="00280357">
        <w:rPr>
          <w:rStyle w:val="Garamond"/>
          <w:szCs w:val="24"/>
        </w:rPr>
        <w:t>aumentare l’incomunicabil</w:t>
      </w:r>
      <w:r>
        <w:rPr>
          <w:rStyle w:val="Garamond"/>
          <w:szCs w:val="24"/>
        </w:rPr>
        <w:t xml:space="preserve">ità tra i professionisti stessi. </w:t>
      </w:r>
      <w:r w:rsidRPr="00280357">
        <w:rPr>
          <w:rStyle w:val="Garamond"/>
          <w:szCs w:val="24"/>
        </w:rPr>
        <w:t>Ciò non solo determina disagio ai pazienti ed ai loro familiari ed aumenti dei costi della sanità, ma impedisce lo sviluppo di una visione unitaria della medicina.</w:t>
      </w:r>
    </w:p>
    <w:p w:rsidR="00F34A62" w:rsidRPr="00280357" w:rsidRDefault="00F34A62" w:rsidP="00F34A62">
      <w:pPr>
        <w:widowControl/>
        <w:suppressAutoHyphens w:val="0"/>
        <w:jc w:val="both"/>
        <w:rPr>
          <w:rStyle w:val="Garamond"/>
          <w:szCs w:val="24"/>
        </w:rPr>
      </w:pPr>
      <w:r w:rsidRPr="00280357">
        <w:rPr>
          <w:rStyle w:val="Garamond"/>
          <w:szCs w:val="24"/>
        </w:rPr>
        <w:t>Si rende necessario, pertanto, individuare un modello per integrare saperi e rendere possibile la comunicazione efficace ed efficiente tra diversi professionisti. L’individuazione e l’analisi dei nuclei concettuali comuni a tutti i saperi professionali può essere una delle chiavi di volta per affrontare questa complessa problematica.</w:t>
      </w:r>
    </w:p>
    <w:p w:rsidR="00F34A62" w:rsidRPr="00280357" w:rsidRDefault="00F34A62" w:rsidP="00F34A62">
      <w:pPr>
        <w:widowControl/>
        <w:suppressAutoHyphens w:val="0"/>
        <w:jc w:val="both"/>
        <w:rPr>
          <w:rStyle w:val="Garamond"/>
          <w:szCs w:val="24"/>
        </w:rPr>
      </w:pPr>
      <w:r w:rsidRPr="00280357">
        <w:rPr>
          <w:rStyle w:val="Garamond"/>
          <w:szCs w:val="24"/>
        </w:rPr>
        <w:t xml:space="preserve">Questo volume </w:t>
      </w:r>
      <w:r>
        <w:rPr>
          <w:rStyle w:val="Garamond"/>
          <w:szCs w:val="24"/>
        </w:rPr>
        <w:t xml:space="preserve">fa parte di una trilogia di brevi saggi dedicati ai </w:t>
      </w:r>
      <w:r w:rsidRPr="00B1555F">
        <w:rPr>
          <w:rStyle w:val="Garamond"/>
          <w:i/>
          <w:szCs w:val="24"/>
        </w:rPr>
        <w:t>tre principali paradigmi della medicina</w:t>
      </w:r>
      <w:r>
        <w:rPr>
          <w:rStyle w:val="Garamond"/>
          <w:szCs w:val="24"/>
        </w:rPr>
        <w:t xml:space="preserve"> (quantitativo, qualitativo e misto) nell'ambito di un progetto complessivo sull’</w:t>
      </w:r>
      <w:r w:rsidRPr="00FD6A4E">
        <w:rPr>
          <w:rStyle w:val="Garamond"/>
          <w:i/>
          <w:szCs w:val="24"/>
        </w:rPr>
        <w:t>Integrazione dei Saperi per la Salute</w:t>
      </w:r>
      <w:r>
        <w:rPr>
          <w:rStyle w:val="Rimandonotaapidipagina"/>
          <w:i/>
          <w:szCs w:val="24"/>
        </w:rPr>
        <w:footnoteReference w:id="2"/>
      </w:r>
      <w:r>
        <w:rPr>
          <w:rStyle w:val="Garamond"/>
          <w:szCs w:val="24"/>
        </w:rPr>
        <w:t xml:space="preserve">. In particolare, esso apre la parte dedicata ai modelli quantitativi ed </w:t>
      </w:r>
      <w:r w:rsidRPr="00280357">
        <w:rPr>
          <w:rStyle w:val="Garamond"/>
          <w:szCs w:val="24"/>
        </w:rPr>
        <w:t xml:space="preserve">è focalizzato sul </w:t>
      </w:r>
      <w:r w:rsidRPr="00280357">
        <w:rPr>
          <w:rStyle w:val="Garamond"/>
          <w:i/>
          <w:szCs w:val="24"/>
        </w:rPr>
        <w:t>ragionamento diagnostico</w:t>
      </w:r>
      <w:r w:rsidRPr="00280357">
        <w:rPr>
          <w:rStyle w:val="Garamond"/>
          <w:szCs w:val="24"/>
        </w:rPr>
        <w:t xml:space="preserve"> che accomuna tutti i professionisti della salute e presenta diverse aree problematiche teorico-pratiche</w:t>
      </w:r>
      <w:r>
        <w:rPr>
          <w:rStyle w:val="Garamond"/>
          <w:szCs w:val="24"/>
        </w:rPr>
        <w:t>,</w:t>
      </w:r>
      <w:r w:rsidRPr="00280357">
        <w:rPr>
          <w:rStyle w:val="Garamond"/>
          <w:szCs w:val="24"/>
        </w:rPr>
        <w:t xml:space="preserve"> spesso sottovalutate da una malintesa </w:t>
      </w:r>
      <w:r>
        <w:rPr>
          <w:rStyle w:val="Garamond"/>
          <w:i/>
          <w:szCs w:val="24"/>
        </w:rPr>
        <w:t>egemonia dell’</w:t>
      </w:r>
      <w:r w:rsidRPr="00DB282F">
        <w:rPr>
          <w:rStyle w:val="Garamond"/>
          <w:i/>
          <w:szCs w:val="24"/>
        </w:rPr>
        <w:t>azione</w:t>
      </w:r>
      <w:r w:rsidRPr="00280357">
        <w:rPr>
          <w:rStyle w:val="Garamond"/>
          <w:szCs w:val="24"/>
        </w:rPr>
        <w:t xml:space="preserve"> rispetto alla conoscenza scientifica. In tal senso, il volume è anche un contributo allo sviluppo e alla diffusione della </w:t>
      </w:r>
      <w:r w:rsidRPr="00280357">
        <w:rPr>
          <w:rStyle w:val="Garamond"/>
          <w:i/>
          <w:szCs w:val="24"/>
        </w:rPr>
        <w:t>Research Based Practice</w:t>
      </w:r>
      <w:r w:rsidRPr="00280357">
        <w:rPr>
          <w:rStyle w:val="Garamond"/>
          <w:szCs w:val="24"/>
        </w:rPr>
        <w:t xml:space="preserve"> nell’ambito di tutte le professioni sanitarie. Coerentemente con questo obiettivo, la trattazione privilegia l’approccio moderno basato su </w:t>
      </w:r>
      <w:r w:rsidRPr="007B50A1">
        <w:rPr>
          <w:rStyle w:val="Garamond"/>
          <w:i/>
          <w:szCs w:val="24"/>
        </w:rPr>
        <w:t xml:space="preserve">concetti </w:t>
      </w:r>
      <w:r w:rsidRPr="003C463E">
        <w:rPr>
          <w:rStyle w:val="Garamond"/>
          <w:i/>
          <w:szCs w:val="24"/>
        </w:rPr>
        <w:t>statistico-matematici</w:t>
      </w:r>
      <w:r w:rsidRPr="00280357">
        <w:rPr>
          <w:rStyle w:val="Garamond"/>
          <w:szCs w:val="24"/>
        </w:rPr>
        <w:t xml:space="preserve"> i quali vengono tuttavia analizzati nel più ampio contesto storico-epistemologico del </w:t>
      </w:r>
      <w:r w:rsidRPr="007B50A1">
        <w:rPr>
          <w:rStyle w:val="Garamond"/>
          <w:i/>
          <w:szCs w:val="24"/>
        </w:rPr>
        <w:t>ragionamento in condizioni di incertezza</w:t>
      </w:r>
      <w:r w:rsidRPr="00280357">
        <w:rPr>
          <w:rStyle w:val="Garamond"/>
          <w:szCs w:val="24"/>
        </w:rPr>
        <w:t xml:space="preserve"> e delle </w:t>
      </w:r>
      <w:r w:rsidRPr="007B50A1">
        <w:rPr>
          <w:rStyle w:val="Garamond"/>
          <w:i/>
          <w:szCs w:val="24"/>
        </w:rPr>
        <w:t>regolarità meta-individuali</w:t>
      </w:r>
      <w:r w:rsidRPr="00280357">
        <w:rPr>
          <w:rStyle w:val="Garamond"/>
          <w:szCs w:val="24"/>
        </w:rPr>
        <w:t xml:space="preserve"> tipiche dei fenomeni di massa. Particolare attenzione viene posta alle due principali interpretazioni della </w:t>
      </w:r>
      <w:r w:rsidRPr="007B50A1">
        <w:rPr>
          <w:rStyle w:val="Garamond"/>
          <w:i/>
          <w:szCs w:val="24"/>
        </w:rPr>
        <w:t xml:space="preserve">probabilità </w:t>
      </w:r>
      <w:r w:rsidRPr="00280357">
        <w:rPr>
          <w:rStyle w:val="Garamond"/>
          <w:szCs w:val="24"/>
        </w:rPr>
        <w:t xml:space="preserve">e alle loro implicazioni cliniche, soprattutto in merito alla questione cruciale degli </w:t>
      </w:r>
      <w:r w:rsidRPr="00DB282F">
        <w:rPr>
          <w:rStyle w:val="Garamond"/>
          <w:i/>
          <w:szCs w:val="24"/>
        </w:rPr>
        <w:t>errori diagnostici</w:t>
      </w:r>
      <w:r w:rsidRPr="00280357">
        <w:rPr>
          <w:rStyle w:val="Garamond"/>
          <w:szCs w:val="24"/>
        </w:rPr>
        <w:t>,</w:t>
      </w:r>
      <w:r>
        <w:rPr>
          <w:rStyle w:val="Garamond"/>
          <w:szCs w:val="24"/>
        </w:rPr>
        <w:t xml:space="preserve"> </w:t>
      </w:r>
      <w:r w:rsidRPr="00280357">
        <w:rPr>
          <w:rStyle w:val="Garamond"/>
          <w:szCs w:val="24"/>
        </w:rPr>
        <w:t xml:space="preserve">spesso sottovalutati nella letteratura internazionale e semplicisticamente etichettati come </w:t>
      </w:r>
      <w:r w:rsidRPr="00280357">
        <w:rPr>
          <w:rStyle w:val="Garamond"/>
          <w:i/>
          <w:szCs w:val="24"/>
        </w:rPr>
        <w:t>malpractice</w:t>
      </w:r>
      <w:r w:rsidRPr="00280357">
        <w:rPr>
          <w:rStyle w:val="Garamond"/>
          <w:szCs w:val="24"/>
        </w:rPr>
        <w:t>.</w:t>
      </w:r>
    </w:p>
    <w:p w:rsidR="00F34A62" w:rsidRDefault="00F34A62" w:rsidP="00F34A62">
      <w:pPr>
        <w:widowControl/>
        <w:suppressAutoHyphens w:val="0"/>
        <w:jc w:val="both"/>
        <w:rPr>
          <w:bCs/>
          <w:color w:val="292526"/>
          <w:szCs w:val="24"/>
          <w:lang w:eastAsia="en-GB"/>
        </w:rPr>
      </w:pPr>
      <w:r w:rsidRPr="00280357">
        <w:rPr>
          <w:rStyle w:val="Garamond"/>
          <w:szCs w:val="24"/>
        </w:rPr>
        <w:t xml:space="preserve">Infine, vengono esaminate alcune </w:t>
      </w:r>
      <w:r w:rsidRPr="007B50A1">
        <w:rPr>
          <w:rStyle w:val="Garamond"/>
          <w:i/>
          <w:szCs w:val="24"/>
        </w:rPr>
        <w:t>mis-concezioni</w:t>
      </w:r>
      <w:r w:rsidRPr="00280357">
        <w:rPr>
          <w:rStyle w:val="Garamond"/>
          <w:szCs w:val="24"/>
        </w:rPr>
        <w:t xml:space="preserve"> comuni nella valutazione delle informazioni diagnostiche</w:t>
      </w:r>
      <w:r>
        <w:rPr>
          <w:rStyle w:val="Garamond"/>
          <w:szCs w:val="24"/>
        </w:rPr>
        <w:t>,</w:t>
      </w:r>
      <w:r w:rsidRPr="00280357">
        <w:rPr>
          <w:rStyle w:val="Garamond"/>
          <w:szCs w:val="24"/>
        </w:rPr>
        <w:t xml:space="preserve"> ponendo l’accento </w:t>
      </w:r>
      <w:r>
        <w:rPr>
          <w:rStyle w:val="Garamond"/>
          <w:szCs w:val="24"/>
        </w:rPr>
        <w:t xml:space="preserve">su </w:t>
      </w:r>
      <w:r w:rsidRPr="00280357">
        <w:rPr>
          <w:rStyle w:val="Garamond"/>
          <w:szCs w:val="24"/>
        </w:rPr>
        <w:t xml:space="preserve">alcuni limiti dell’approccio </w:t>
      </w:r>
      <w:r>
        <w:rPr>
          <w:rStyle w:val="Garamond"/>
          <w:szCs w:val="24"/>
        </w:rPr>
        <w:t xml:space="preserve">bio-medico basato su </w:t>
      </w:r>
      <w:r w:rsidRPr="002C712A">
        <w:rPr>
          <w:rStyle w:val="Garamond"/>
          <w:i/>
          <w:szCs w:val="24"/>
        </w:rPr>
        <w:t>test diagnostici</w:t>
      </w:r>
      <w:r>
        <w:rPr>
          <w:rStyle w:val="Garamond"/>
          <w:szCs w:val="24"/>
        </w:rPr>
        <w:t xml:space="preserve"> (clinici, laboratoristici, strumentali) il cui potere discriminatorio appare nella maggior parte dei casi eccessivamente ottimistico allorquando gli articoli scientifici vengono sottoposti ad un'analisi critica basata sui canoni della </w:t>
      </w:r>
      <w:r w:rsidRPr="007D74AC">
        <w:rPr>
          <w:rStyle w:val="Garamond"/>
          <w:i/>
          <w:szCs w:val="24"/>
        </w:rPr>
        <w:t>Evidence Based Medicine</w:t>
      </w:r>
      <w:r>
        <w:rPr>
          <w:rStyle w:val="Garamond"/>
          <w:szCs w:val="24"/>
        </w:rPr>
        <w:t xml:space="preserve"> e sulle revisioni sistematiche. Queste ultime sono esse stesse carenti da diversi punti di vista. Ad esempio, i</w:t>
      </w:r>
      <w:r w:rsidRPr="006D5E26">
        <w:rPr>
          <w:rStyle w:val="Garamond"/>
          <w:szCs w:val="24"/>
        </w:rPr>
        <w:t xml:space="preserve">l </w:t>
      </w:r>
      <w:r w:rsidRPr="006D5E26">
        <w:rPr>
          <w:bCs/>
          <w:color w:val="292526"/>
          <w:szCs w:val="24"/>
          <w:lang w:eastAsia="en-GB"/>
        </w:rPr>
        <w:t xml:space="preserve"> risultato di un’analisi sistematica sull</w:t>
      </w:r>
      <w:r>
        <w:rPr>
          <w:bCs/>
          <w:color w:val="292526"/>
          <w:szCs w:val="24"/>
          <w:lang w:eastAsia="en-GB"/>
        </w:rPr>
        <w:t>a</w:t>
      </w:r>
      <w:r w:rsidRPr="006D5E26">
        <w:rPr>
          <w:bCs/>
          <w:color w:val="292526"/>
          <w:szCs w:val="24"/>
          <w:lang w:eastAsia="en-GB"/>
        </w:rPr>
        <w:t xml:space="preserve"> validazione dei </w:t>
      </w:r>
      <w:r w:rsidRPr="006A5D33">
        <w:rPr>
          <w:bCs/>
          <w:szCs w:val="24"/>
          <w:lang w:eastAsia="en-GB"/>
        </w:rPr>
        <w:t xml:space="preserve">test </w:t>
      </w:r>
      <w:r w:rsidRPr="006A5D33">
        <w:rPr>
          <w:bCs/>
          <w:szCs w:val="24"/>
          <w:lang w:eastAsia="en-GB"/>
        </w:rPr>
        <w:t>d</w:t>
      </w:r>
      <w:r w:rsidRPr="006A5D33">
        <w:rPr>
          <w:bCs/>
          <w:szCs w:val="24"/>
          <w:lang w:eastAsia="en-GB"/>
        </w:rPr>
        <w:t>iag</w:t>
      </w:r>
      <w:r w:rsidRPr="006A5D33">
        <w:rPr>
          <w:bCs/>
          <w:szCs w:val="24"/>
          <w:lang w:eastAsia="en-GB"/>
        </w:rPr>
        <w:t>n</w:t>
      </w:r>
      <w:r w:rsidRPr="006A5D33">
        <w:rPr>
          <w:bCs/>
          <w:szCs w:val="24"/>
          <w:lang w:eastAsia="en-GB"/>
        </w:rPr>
        <w:t>o</w:t>
      </w:r>
      <w:r w:rsidRPr="006A5D33">
        <w:rPr>
          <w:bCs/>
          <w:szCs w:val="24"/>
          <w:lang w:eastAsia="en-GB"/>
        </w:rPr>
        <w:t>s</w:t>
      </w:r>
      <w:r w:rsidRPr="006A5D33">
        <w:rPr>
          <w:bCs/>
          <w:szCs w:val="24"/>
          <w:lang w:eastAsia="en-GB"/>
        </w:rPr>
        <w:t>tici per il cancro</w:t>
      </w:r>
      <w:r w:rsidRPr="006D5E26">
        <w:rPr>
          <w:bCs/>
          <w:color w:val="292526"/>
          <w:szCs w:val="24"/>
          <w:lang w:eastAsia="en-GB"/>
        </w:rPr>
        <w:t xml:space="preserve"> effettuata nel 200</w:t>
      </w:r>
      <w:r>
        <w:rPr>
          <w:bCs/>
          <w:color w:val="292526"/>
          <w:szCs w:val="24"/>
          <w:lang w:eastAsia="en-GB"/>
        </w:rPr>
        <w:t>6</w:t>
      </w:r>
      <w:r>
        <w:rPr>
          <w:rStyle w:val="Rimandonotaapidipagina"/>
          <w:bCs/>
          <w:color w:val="292526"/>
          <w:szCs w:val="24"/>
          <w:lang w:eastAsia="en-GB"/>
        </w:rPr>
        <w:footnoteReference w:id="3"/>
      </w:r>
      <w:r w:rsidRPr="006D5E26">
        <w:rPr>
          <w:bCs/>
          <w:color w:val="292526"/>
          <w:szCs w:val="24"/>
          <w:lang w:eastAsia="en-GB"/>
        </w:rPr>
        <w:t xml:space="preserve"> ha mostrato che su 89 studi ritenuti degni di attenzione solo il 40% aveva riportato i dettagli del disegno dello studio, solo il 17% aveva riportato la gravità della malattia dei pazienti sottoposti al test e/o il contesto clinico. 25 di questi studi sono stati valutati in dettaglio e solo in 9 di questi era riportata la definizione del risultato positivo al test.</w:t>
      </w:r>
      <w:r>
        <w:rPr>
          <w:bCs/>
          <w:color w:val="292526"/>
          <w:szCs w:val="24"/>
          <w:lang w:eastAsia="en-GB"/>
        </w:rPr>
        <w:t xml:space="preserve"> </w:t>
      </w:r>
    </w:p>
    <w:p w:rsidR="00F34A62" w:rsidRDefault="00F34A62" w:rsidP="00F34A62">
      <w:pPr>
        <w:widowControl/>
        <w:suppressAutoHyphens w:val="0"/>
        <w:jc w:val="both"/>
        <w:rPr>
          <w:rStyle w:val="Garamond"/>
          <w:szCs w:val="24"/>
        </w:rPr>
      </w:pPr>
      <w:r>
        <w:rPr>
          <w:bCs/>
          <w:color w:val="292526"/>
          <w:szCs w:val="24"/>
          <w:lang w:eastAsia="en-GB"/>
        </w:rPr>
        <w:lastRenderedPageBreak/>
        <w:t xml:space="preserve">L'eccessivo </w:t>
      </w:r>
      <w:r>
        <w:rPr>
          <w:rStyle w:val="Garamond"/>
          <w:szCs w:val="24"/>
        </w:rPr>
        <w:t>ottimismo induce nei professionisti della salute una</w:t>
      </w:r>
      <w:r w:rsidRPr="00280357">
        <w:rPr>
          <w:rStyle w:val="Garamond"/>
          <w:szCs w:val="24"/>
        </w:rPr>
        <w:t xml:space="preserve"> </w:t>
      </w:r>
      <w:r w:rsidRPr="00DB282F">
        <w:rPr>
          <w:rStyle w:val="Garamond"/>
          <w:i/>
          <w:szCs w:val="24"/>
        </w:rPr>
        <w:t>falsa sicurezza</w:t>
      </w:r>
      <w:r w:rsidRPr="00280357">
        <w:rPr>
          <w:rStyle w:val="Garamond"/>
          <w:szCs w:val="24"/>
        </w:rPr>
        <w:t xml:space="preserve"> </w:t>
      </w:r>
      <w:r>
        <w:rPr>
          <w:rStyle w:val="Garamond"/>
          <w:szCs w:val="24"/>
        </w:rPr>
        <w:t xml:space="preserve">che talvolta rasenta una posizione fideistica che, proprio per questo motivo, può essere causa di errori anche gravi. </w:t>
      </w:r>
      <w:r w:rsidRPr="00280357">
        <w:rPr>
          <w:rStyle w:val="Garamond"/>
          <w:szCs w:val="24"/>
        </w:rPr>
        <w:t xml:space="preserve"> </w:t>
      </w:r>
    </w:p>
    <w:p w:rsidR="00F34A62" w:rsidRDefault="00F34A62" w:rsidP="00F34A62">
      <w:pPr>
        <w:widowControl/>
        <w:suppressAutoHyphens w:val="0"/>
        <w:jc w:val="both"/>
        <w:rPr>
          <w:rStyle w:val="Garamond"/>
          <w:szCs w:val="24"/>
        </w:rPr>
      </w:pPr>
      <w:r>
        <w:rPr>
          <w:rStyle w:val="Garamond"/>
          <w:szCs w:val="24"/>
        </w:rPr>
        <w:t xml:space="preserve">Queste valutazioni critiche </w:t>
      </w:r>
      <w:r w:rsidRPr="00280357">
        <w:rPr>
          <w:rStyle w:val="Garamond"/>
          <w:szCs w:val="24"/>
        </w:rPr>
        <w:t>aprono prospettive nuove e più complesse che saranno oggetto d</w:t>
      </w:r>
      <w:r>
        <w:rPr>
          <w:rStyle w:val="Garamond"/>
          <w:szCs w:val="24"/>
        </w:rPr>
        <w:t xml:space="preserve">egli altri volumi </w:t>
      </w:r>
      <w:r w:rsidRPr="00280357">
        <w:rPr>
          <w:rStyle w:val="Garamond"/>
          <w:szCs w:val="24"/>
        </w:rPr>
        <w:t>della serie.</w:t>
      </w:r>
    </w:p>
    <w:p w:rsidR="00F34A62" w:rsidRDefault="00F34A62" w:rsidP="00F34A62">
      <w:pPr>
        <w:widowControl/>
        <w:suppressAutoHyphens w:val="0"/>
        <w:jc w:val="both"/>
        <w:rPr>
          <w:rStyle w:val="Garamond"/>
          <w:szCs w:val="24"/>
        </w:rPr>
      </w:pPr>
      <w:r>
        <w:rPr>
          <w:rStyle w:val="Garamond"/>
          <w:szCs w:val="24"/>
        </w:rPr>
        <w:t xml:space="preserve">Il presente saggio si pone, così, come un testo base per la comprensione del ragionamento diagnostico dal punto di vista del </w:t>
      </w:r>
      <w:r w:rsidRPr="00A27791">
        <w:rPr>
          <w:rStyle w:val="Garamond"/>
          <w:i/>
          <w:szCs w:val="24"/>
        </w:rPr>
        <w:t>paradigma quantitativo</w:t>
      </w:r>
      <w:r>
        <w:rPr>
          <w:rStyle w:val="Garamond"/>
          <w:szCs w:val="24"/>
        </w:rPr>
        <w:t xml:space="preserve"> che caratterizza la medicina moderna, comprensione senza la quale non è possibile apprezzare la natura di altri paradigmi ed i loro limiti, e pervenire ad una visione integrata e complessa della medicina. In tale ottica, il volume è indirizzato a tutti i professionisti della salute, ai docenti dei corsi pre e post universitari e agli studenti dei diversi corsi di laurea desiderosi di comprendere le radici del </w:t>
      </w:r>
      <w:r w:rsidRPr="00457A5D">
        <w:rPr>
          <w:rStyle w:val="Garamond"/>
          <w:i/>
          <w:szCs w:val="24"/>
        </w:rPr>
        <w:t>ragionamento diagnostico</w:t>
      </w:r>
      <w:r>
        <w:rPr>
          <w:rStyle w:val="Garamond"/>
          <w:szCs w:val="24"/>
        </w:rPr>
        <w:t xml:space="preserve"> nel contesto del modello bio-medico e la natura degli </w:t>
      </w:r>
      <w:r w:rsidRPr="00457A5D">
        <w:rPr>
          <w:rStyle w:val="Garamond"/>
          <w:i/>
          <w:szCs w:val="24"/>
        </w:rPr>
        <w:t>errori diagnostici</w:t>
      </w:r>
      <w:r>
        <w:rPr>
          <w:rStyle w:val="Garamond"/>
          <w:szCs w:val="24"/>
        </w:rPr>
        <w:t>, nella speranza che gli argomenti trattati possano fungere da stimolo per il superamento della frammentazione del sapere tipico della medicina moderna, migliorare il processo di care-cure e diminuire la spesa sanitaria.</w:t>
      </w:r>
    </w:p>
    <w:p w:rsidR="006B492E" w:rsidRDefault="006B492E"/>
    <w:sectPr w:rsidR="006B492E" w:rsidSect="006B492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6B87" w:rsidRDefault="00006B87" w:rsidP="00F34A62">
      <w:r>
        <w:separator/>
      </w:r>
    </w:p>
  </w:endnote>
  <w:endnote w:type="continuationSeparator" w:id="0">
    <w:p w:rsidR="00006B87" w:rsidRDefault="00006B87" w:rsidP="00F34A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6B87" w:rsidRDefault="00006B87" w:rsidP="00F34A62">
      <w:r>
        <w:separator/>
      </w:r>
    </w:p>
  </w:footnote>
  <w:footnote w:type="continuationSeparator" w:id="0">
    <w:p w:rsidR="00006B87" w:rsidRDefault="00006B87" w:rsidP="00F34A62">
      <w:r>
        <w:continuationSeparator/>
      </w:r>
    </w:p>
  </w:footnote>
  <w:footnote w:id="1">
    <w:p w:rsidR="00F34A62" w:rsidRPr="00235C83" w:rsidRDefault="00F34A62" w:rsidP="00F34A62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 w:rsidRPr="00235C83">
        <w:rPr>
          <w:lang w:val="en-GB"/>
        </w:rPr>
        <w:t xml:space="preserve"> Editore </w:t>
      </w:r>
      <w:r w:rsidRPr="00DB282F">
        <w:rPr>
          <w:i/>
          <w:lang w:val="en-GB"/>
        </w:rPr>
        <w:t>Knowledge Integration for Health</w:t>
      </w:r>
      <w:r w:rsidRPr="00235C83">
        <w:rPr>
          <w:lang w:val="en-GB"/>
        </w:rPr>
        <w:t>, 2012</w:t>
      </w:r>
    </w:p>
  </w:footnote>
  <w:footnote w:id="2">
    <w:p w:rsidR="00F34A62" w:rsidRPr="007156C8" w:rsidRDefault="00F34A62" w:rsidP="00F34A62">
      <w:pPr>
        <w:pStyle w:val="Testonotaapidipagina"/>
      </w:pPr>
      <w:r>
        <w:rPr>
          <w:rStyle w:val="Rimandonotaapidipagina"/>
        </w:rPr>
        <w:footnoteRef/>
      </w:r>
      <w:r w:rsidRPr="007156C8">
        <w:t xml:space="preserve"> </w:t>
      </w:r>
      <w:r>
        <w:t>S</w:t>
      </w:r>
      <w:r w:rsidRPr="007156C8">
        <w:rPr>
          <w:rStyle w:val="Garamond"/>
          <w:rFonts w:ascii="Times New Roman" w:hAnsi="Times New Roman"/>
          <w:sz w:val="16"/>
          <w:szCs w:val="16"/>
        </w:rPr>
        <w:t xml:space="preserve">i veda Giani U. (ed.) “Integrazione dei saperi per la salute”, </w:t>
      </w:r>
      <w:hyperlink r:id="rId1" w:history="1">
        <w:r w:rsidRPr="007156C8">
          <w:rPr>
            <w:rStyle w:val="Collegamentoipertestuale"/>
            <w:sz w:val="16"/>
            <w:szCs w:val="16"/>
          </w:rPr>
          <w:t>www.ilmiolibro.it</w:t>
        </w:r>
      </w:hyperlink>
      <w:r w:rsidRPr="007156C8">
        <w:rPr>
          <w:rStyle w:val="Garamond"/>
          <w:rFonts w:ascii="Times New Roman" w:hAnsi="Times New Roman"/>
          <w:sz w:val="16"/>
          <w:szCs w:val="16"/>
        </w:rPr>
        <w:t>)</w:t>
      </w:r>
    </w:p>
  </w:footnote>
  <w:footnote w:id="3">
    <w:p w:rsidR="00F34A62" w:rsidRPr="006A5D33" w:rsidRDefault="00F34A62" w:rsidP="00F34A62">
      <w:pPr>
        <w:widowControl/>
        <w:suppressAutoHyphens w:val="0"/>
        <w:jc w:val="both"/>
        <w:rPr>
          <w:rFonts w:eastAsia="Times New Roman"/>
          <w:bCs/>
          <w:color w:val="292526"/>
          <w:sz w:val="16"/>
          <w:szCs w:val="16"/>
          <w:lang w:val="en-US" w:eastAsia="it-IT"/>
        </w:rPr>
      </w:pPr>
      <w:r>
        <w:rPr>
          <w:rStyle w:val="Rimandonotaapidipagina"/>
        </w:rPr>
        <w:footnoteRef/>
      </w:r>
      <w:r w:rsidRPr="006A5D33">
        <w:rPr>
          <w:lang w:val="en-US"/>
        </w:rPr>
        <w:t xml:space="preserve"> </w:t>
      </w:r>
      <w:proofErr w:type="spellStart"/>
      <w:r w:rsidRPr="006A5D33">
        <w:rPr>
          <w:rFonts w:eastAsia="Times New Roman"/>
          <w:color w:val="292526"/>
          <w:sz w:val="16"/>
          <w:szCs w:val="16"/>
          <w:lang w:val="en-US" w:eastAsia="it-IT"/>
        </w:rPr>
        <w:t>Mallett</w:t>
      </w:r>
      <w:proofErr w:type="spellEnd"/>
      <w:r w:rsidRPr="006A5D33">
        <w:rPr>
          <w:rFonts w:eastAsia="Times New Roman"/>
          <w:color w:val="292526"/>
          <w:sz w:val="16"/>
          <w:szCs w:val="16"/>
          <w:lang w:val="en-US" w:eastAsia="it-IT"/>
        </w:rPr>
        <w:t xml:space="preserve"> S., </w:t>
      </w:r>
      <w:proofErr w:type="spellStart"/>
      <w:r w:rsidRPr="006A5D33">
        <w:rPr>
          <w:rFonts w:eastAsia="Times New Roman"/>
          <w:color w:val="292526"/>
          <w:sz w:val="16"/>
          <w:szCs w:val="16"/>
          <w:lang w:val="en-US" w:eastAsia="it-IT"/>
        </w:rPr>
        <w:t>Deeks</w:t>
      </w:r>
      <w:proofErr w:type="spellEnd"/>
      <w:r w:rsidRPr="006A5D33">
        <w:rPr>
          <w:rFonts w:eastAsia="Times New Roman"/>
          <w:color w:val="292526"/>
          <w:sz w:val="16"/>
          <w:szCs w:val="16"/>
          <w:lang w:val="en-US" w:eastAsia="it-IT"/>
        </w:rPr>
        <w:t xml:space="preserve"> J.J., </w:t>
      </w:r>
      <w:proofErr w:type="spellStart"/>
      <w:r w:rsidRPr="006A5D33">
        <w:rPr>
          <w:rFonts w:eastAsia="Times New Roman"/>
          <w:color w:val="292526"/>
          <w:sz w:val="16"/>
          <w:szCs w:val="16"/>
          <w:lang w:val="en-US" w:eastAsia="it-IT"/>
        </w:rPr>
        <w:t>Halligan</w:t>
      </w:r>
      <w:proofErr w:type="spellEnd"/>
      <w:r w:rsidRPr="006A5D33">
        <w:rPr>
          <w:rFonts w:eastAsia="Times New Roman"/>
          <w:color w:val="292526"/>
          <w:sz w:val="16"/>
          <w:szCs w:val="16"/>
          <w:lang w:val="en-US" w:eastAsia="it-IT"/>
        </w:rPr>
        <w:t xml:space="preserve"> S., Hopewell S., Cornelius V., Altman D.G.</w:t>
      </w:r>
      <w:r w:rsidRPr="006A5D33">
        <w:rPr>
          <w:rFonts w:eastAsia="Times New Roman"/>
          <w:sz w:val="16"/>
          <w:szCs w:val="16"/>
          <w:lang w:val="en-US" w:eastAsia="it-IT"/>
        </w:rPr>
        <w:t xml:space="preserve"> (2006) </w:t>
      </w:r>
      <w:r w:rsidRPr="006A5D33">
        <w:rPr>
          <w:rFonts w:eastAsia="Times New Roman"/>
          <w:bCs/>
          <w:color w:val="292526"/>
          <w:sz w:val="16"/>
          <w:szCs w:val="16"/>
          <w:lang w:val="en-US" w:eastAsia="it-IT"/>
        </w:rPr>
        <w:t>Systematic reviews of diagnostic tests in cancer: review of methods</w:t>
      </w:r>
    </w:p>
    <w:p w:rsidR="00F34A62" w:rsidRPr="006A5D33" w:rsidRDefault="00F34A62" w:rsidP="00F34A62">
      <w:pPr>
        <w:widowControl/>
        <w:suppressAutoHyphens w:val="0"/>
        <w:autoSpaceDE w:val="0"/>
        <w:autoSpaceDN w:val="0"/>
        <w:adjustRightInd w:val="0"/>
        <w:rPr>
          <w:rFonts w:eastAsia="Times New Roman"/>
          <w:b/>
          <w:bCs/>
          <w:color w:val="292526"/>
          <w:sz w:val="16"/>
          <w:szCs w:val="16"/>
          <w:lang w:eastAsia="it-IT"/>
        </w:rPr>
      </w:pPr>
      <w:r w:rsidRPr="006A5D33">
        <w:rPr>
          <w:rFonts w:eastAsia="Times New Roman"/>
          <w:bCs/>
          <w:color w:val="292526"/>
          <w:sz w:val="16"/>
          <w:szCs w:val="16"/>
          <w:lang w:eastAsia="it-IT"/>
        </w:rPr>
        <w:t xml:space="preserve">and reporting </w:t>
      </w:r>
      <w:r w:rsidRPr="006A5D33">
        <w:rPr>
          <w:rFonts w:eastAsia="Times New Roman"/>
          <w:i/>
          <w:iCs/>
          <w:sz w:val="16"/>
          <w:szCs w:val="16"/>
          <w:lang w:eastAsia="it-IT"/>
        </w:rPr>
        <w:t>BMJ</w:t>
      </w:r>
      <w:r w:rsidRPr="006A5D33">
        <w:rPr>
          <w:rFonts w:eastAsia="Times New Roman"/>
          <w:sz w:val="16"/>
          <w:szCs w:val="16"/>
          <w:lang w:eastAsia="it-IT"/>
        </w:rPr>
        <w:t xml:space="preserve"> 333;413-416</w:t>
      </w:r>
    </w:p>
    <w:p w:rsidR="00F34A62" w:rsidRDefault="00F34A62" w:rsidP="00F34A62">
      <w:pPr>
        <w:pStyle w:val="Testonotaapidipagina"/>
      </w:pP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34A62"/>
    <w:rsid w:val="00006B87"/>
    <w:rsid w:val="001A56BE"/>
    <w:rsid w:val="006B492E"/>
    <w:rsid w:val="00C35685"/>
    <w:rsid w:val="00E13429"/>
    <w:rsid w:val="00F34A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34A62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0"/>
      <w:lang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rsid w:val="00F34A62"/>
    <w:rPr>
      <w:rFonts w:cs="Times New Roman"/>
      <w:color w:val="auto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rsid w:val="00F34A62"/>
    <w:pPr>
      <w:widowControl/>
      <w:suppressAutoHyphens w:val="0"/>
    </w:pPr>
    <w:rPr>
      <w:rFonts w:ascii="Garamond" w:eastAsia="SimSun" w:hAnsi="Garamond"/>
      <w:sz w:val="20"/>
      <w:lang w:eastAsia="zh-CN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F34A62"/>
    <w:rPr>
      <w:rFonts w:ascii="Garamond" w:eastAsia="SimSun" w:hAnsi="Garamond" w:cs="Times New Roman"/>
      <w:sz w:val="20"/>
      <w:szCs w:val="20"/>
      <w:lang w:eastAsia="zh-CN"/>
    </w:rPr>
  </w:style>
  <w:style w:type="character" w:styleId="Rimandonotaapidipagina">
    <w:name w:val="footnote reference"/>
    <w:basedOn w:val="Carpredefinitoparagrafo"/>
    <w:uiPriority w:val="99"/>
    <w:rsid w:val="00F34A62"/>
    <w:rPr>
      <w:rFonts w:cs="Times New Roman"/>
      <w:vertAlign w:val="superscript"/>
    </w:rPr>
  </w:style>
  <w:style w:type="character" w:customStyle="1" w:styleId="Garamond">
    <w:name w:val="Garamond"/>
    <w:basedOn w:val="Carpredefinitoparagrafo"/>
    <w:rsid w:val="00F34A62"/>
    <w:rPr>
      <w:rFonts w:ascii="Garamond" w:hAnsi="Garamond" w:cs="Times New Roman"/>
      <w:sz w:val="24"/>
    </w:rPr>
  </w:style>
  <w:style w:type="paragraph" w:styleId="Nessunaspaziatura">
    <w:name w:val="No Spacing"/>
    <w:uiPriority w:val="1"/>
    <w:qFormat/>
    <w:rsid w:val="00F34A62"/>
    <w:pPr>
      <w:spacing w:after="0" w:line="240" w:lineRule="auto"/>
    </w:pPr>
    <w:rPr>
      <w:rFonts w:ascii="Garamond" w:eastAsia="Times New Roman" w:hAnsi="Garamond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34A6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34A62"/>
    <w:rPr>
      <w:rFonts w:ascii="Tahoma" w:eastAsia="Lucida Sans Unicode" w:hAnsi="Tahoma" w:cs="Tahoma"/>
      <w:sz w:val="16"/>
      <w:szCs w:val="16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lmiolibr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1094</Words>
  <Characters>6240</Characters>
  <Application>Microsoft Office Word</Application>
  <DocSecurity>0</DocSecurity>
  <Lines>52</Lines>
  <Paragraphs>14</Paragraphs>
  <ScaleCrop>false</ScaleCrop>
  <Company/>
  <LinksUpToDate>false</LinksUpToDate>
  <CharactersWithSpaces>7320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Utente</cp:lastModifiedBy>
  <cp:revision>1</cp:revision>
  <dcterms:created xsi:type="dcterms:W3CDTF">2013-02-09T11:03:00Z</dcterms:created>
  <dcterms:modified xsi:type="dcterms:W3CDTF">2013-02-09T11:04:00Z</dcterms:modified>
</cp:coreProperties>
</file>