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A4E" w:rsidRDefault="006C2A4E" w:rsidP="006C2A4E">
      <w:pPr>
        <w:autoSpaceDE w:val="0"/>
        <w:autoSpaceDN w:val="0"/>
        <w:adjustRightInd w:val="0"/>
        <w:spacing w:after="0" w:line="240" w:lineRule="auto"/>
        <w:rPr>
          <w:rFonts w:ascii="AdvTT6120e2aa" w:hAnsi="AdvTT6120e2aa" w:cs="AdvTT6120e2aa"/>
          <w:sz w:val="18"/>
          <w:szCs w:val="18"/>
        </w:rPr>
      </w:pPr>
      <w:r>
        <w:rPr>
          <w:rFonts w:ascii="AdvTT6120e2aa" w:hAnsi="AdvTT6120e2aa" w:cs="AdvTT6120e2aa"/>
          <w:sz w:val="18"/>
          <w:szCs w:val="18"/>
        </w:rPr>
        <w:t>ABSTRA</w:t>
      </w:r>
      <w:bookmarkStart w:id="0" w:name="_GoBack"/>
      <w:bookmarkEnd w:id="0"/>
      <w:r>
        <w:rPr>
          <w:rFonts w:ascii="AdvTT6120e2aa" w:hAnsi="AdvTT6120e2aa" w:cs="AdvTT6120e2aa"/>
          <w:sz w:val="18"/>
          <w:szCs w:val="18"/>
        </w:rPr>
        <w:t>CT</w:t>
      </w:r>
    </w:p>
    <w:p w:rsidR="006C2A4E" w:rsidRDefault="006C2A4E" w:rsidP="006C2A4E">
      <w:pPr>
        <w:autoSpaceDE w:val="0"/>
        <w:autoSpaceDN w:val="0"/>
        <w:adjustRightInd w:val="0"/>
        <w:spacing w:after="0" w:line="240" w:lineRule="auto"/>
        <w:rPr>
          <w:rFonts w:ascii="AdvTT6120e2aa" w:hAnsi="AdvTT6120e2aa" w:cs="AdvTT6120e2aa"/>
          <w:sz w:val="18"/>
          <w:szCs w:val="18"/>
        </w:rPr>
      </w:pPr>
    </w:p>
    <w:p w:rsidR="006C2A4E" w:rsidRDefault="006C2A4E" w:rsidP="006C2A4E">
      <w:pPr>
        <w:autoSpaceDE w:val="0"/>
        <w:autoSpaceDN w:val="0"/>
        <w:adjustRightInd w:val="0"/>
        <w:spacing w:after="0" w:line="240" w:lineRule="auto"/>
        <w:rPr>
          <w:rFonts w:ascii="AdvTT6120e2aa" w:hAnsi="AdvTT6120e2aa" w:cs="AdvTT6120e2aa"/>
          <w:sz w:val="18"/>
          <w:szCs w:val="18"/>
        </w:rPr>
      </w:pPr>
      <w:r>
        <w:rPr>
          <w:rFonts w:ascii="AdvTT6120e2aa" w:hAnsi="AdvTT6120e2aa" w:cs="AdvTT6120e2aa"/>
          <w:sz w:val="18"/>
          <w:szCs w:val="18"/>
        </w:rPr>
        <w:t xml:space="preserve">We have characterized the S1 satellite from eight European populations of </w:t>
      </w:r>
      <w:r>
        <w:rPr>
          <w:rFonts w:ascii="AdvTT50a2f13e.I" w:hAnsi="AdvTT50a2f13e.I" w:cs="AdvTT50a2f13e.I"/>
          <w:sz w:val="18"/>
          <w:szCs w:val="18"/>
        </w:rPr>
        <w:t xml:space="preserve">Rana dalmatina </w:t>
      </w:r>
      <w:r>
        <w:rPr>
          <w:rFonts w:ascii="AdvTT6120e2aa" w:hAnsi="AdvTT6120e2aa" w:cs="AdvTT6120e2aa"/>
          <w:sz w:val="18"/>
          <w:szCs w:val="18"/>
        </w:rPr>
        <w:t>by Southern blot, cloning and a new method that</w:t>
      </w:r>
    </w:p>
    <w:p w:rsidR="006C2A4E" w:rsidRDefault="006C2A4E" w:rsidP="006C2A4E">
      <w:pPr>
        <w:autoSpaceDE w:val="0"/>
        <w:autoSpaceDN w:val="0"/>
        <w:adjustRightInd w:val="0"/>
        <w:spacing w:after="0" w:line="240" w:lineRule="auto"/>
        <w:rPr>
          <w:rFonts w:ascii="AdvTT6120e2aa" w:hAnsi="AdvTT6120e2aa" w:cs="AdvTT6120e2aa"/>
          <w:sz w:val="18"/>
          <w:szCs w:val="18"/>
        </w:rPr>
      </w:pPr>
      <w:r>
        <w:rPr>
          <w:rFonts w:ascii="AdvTT6120e2aa" w:hAnsi="AdvTT6120e2aa" w:cs="AdvTT6120e2aa"/>
          <w:sz w:val="18"/>
          <w:szCs w:val="18"/>
        </w:rPr>
        <w:t>determines the sequence variability of repetitive units in the genome. This report completes our previous studies on this satellite DNA family, thus</w:t>
      </w:r>
    </w:p>
    <w:p w:rsidR="006C2A4E" w:rsidRDefault="006C2A4E" w:rsidP="006C2A4E">
      <w:pPr>
        <w:autoSpaceDE w:val="0"/>
        <w:autoSpaceDN w:val="0"/>
        <w:adjustRightInd w:val="0"/>
        <w:spacing w:after="0" w:line="240" w:lineRule="auto"/>
        <w:rPr>
          <w:rFonts w:ascii="AdvTT6120e2aa" w:hAnsi="AdvTT6120e2aa" w:cs="AdvTT6120e2aa"/>
          <w:sz w:val="18"/>
          <w:szCs w:val="18"/>
        </w:rPr>
      </w:pPr>
      <w:r>
        <w:rPr>
          <w:rFonts w:ascii="AdvTT6120e2aa" w:hAnsi="AdvTT6120e2aa" w:cs="AdvTT6120e2aa"/>
          <w:sz w:val="18"/>
          <w:szCs w:val="18"/>
        </w:rPr>
        <w:t>providing the first characterization of the overall variability of the structure and genomic organization of a satellite DNA within a species and</w:t>
      </w:r>
    </w:p>
    <w:p w:rsidR="006C2A4E" w:rsidRDefault="006C2A4E" w:rsidP="006C2A4E">
      <w:pPr>
        <w:autoSpaceDE w:val="0"/>
        <w:autoSpaceDN w:val="0"/>
        <w:adjustRightInd w:val="0"/>
        <w:spacing w:after="0" w:line="240" w:lineRule="auto"/>
        <w:rPr>
          <w:rFonts w:ascii="AdvTT6120e2aa" w:hAnsi="AdvTT6120e2aa" w:cs="AdvTT6120e2aa"/>
          <w:sz w:val="18"/>
          <w:szCs w:val="18"/>
        </w:rPr>
      </w:pPr>
      <w:r>
        <w:rPr>
          <w:rFonts w:ascii="AdvTT6120e2aa" w:hAnsi="AdvTT6120e2aa" w:cs="AdvTT6120e2aa"/>
          <w:sz w:val="18"/>
          <w:szCs w:val="18"/>
        </w:rPr>
        <w:t>among related species.</w:t>
      </w:r>
    </w:p>
    <w:p w:rsidR="006C2A4E" w:rsidRDefault="006C2A4E" w:rsidP="006C2A4E">
      <w:pPr>
        <w:autoSpaceDE w:val="0"/>
        <w:autoSpaceDN w:val="0"/>
        <w:adjustRightInd w:val="0"/>
        <w:spacing w:after="0" w:line="240" w:lineRule="auto"/>
        <w:rPr>
          <w:rFonts w:ascii="AdvTT6120e2aa" w:hAnsi="AdvTT6120e2aa" w:cs="AdvTT6120e2aa"/>
          <w:sz w:val="18"/>
          <w:szCs w:val="18"/>
        </w:rPr>
      </w:pPr>
      <w:r>
        <w:rPr>
          <w:rFonts w:ascii="AdvTT6120e2aa" w:hAnsi="AdvTT6120e2aa" w:cs="AdvTT6120e2aa"/>
          <w:sz w:val="18"/>
          <w:szCs w:val="18"/>
        </w:rPr>
        <w:t xml:space="preserve">The S1 satellite from </w:t>
      </w:r>
      <w:r>
        <w:rPr>
          <w:rFonts w:ascii="AdvTT50a2f13e.I" w:hAnsi="AdvTT50a2f13e.I" w:cs="AdvTT50a2f13e.I"/>
          <w:sz w:val="18"/>
          <w:szCs w:val="18"/>
        </w:rPr>
        <w:t xml:space="preserve">R. dalmatina </w:t>
      </w:r>
      <w:r>
        <w:rPr>
          <w:rFonts w:ascii="AdvTT6120e2aa" w:hAnsi="AdvTT6120e2aa" w:cs="AdvTT6120e2aa"/>
          <w:sz w:val="18"/>
          <w:szCs w:val="18"/>
        </w:rPr>
        <w:t>has a pericentromeric location on ten chromosome pairs and presents two homologous repeats S1a (494 bp)</w:t>
      </w:r>
    </w:p>
    <w:p w:rsidR="006C2A4E" w:rsidRDefault="006C2A4E" w:rsidP="006C2A4E">
      <w:pPr>
        <w:autoSpaceDE w:val="0"/>
        <w:autoSpaceDN w:val="0"/>
        <w:adjustRightInd w:val="0"/>
        <w:spacing w:after="0" w:line="240" w:lineRule="auto"/>
        <w:rPr>
          <w:rFonts w:ascii="AdvTT6120e2aa" w:hAnsi="AdvTT6120e2aa" w:cs="AdvTT6120e2aa"/>
          <w:sz w:val="18"/>
          <w:szCs w:val="18"/>
        </w:rPr>
      </w:pPr>
      <w:r>
        <w:rPr>
          <w:rFonts w:ascii="AdvTT6120e2aa" w:hAnsi="AdvTT6120e2aa" w:cs="AdvTT6120e2aa"/>
          <w:sz w:val="18"/>
          <w:szCs w:val="18"/>
        </w:rPr>
        <w:t>and S1b (332 bp), mostly organized as composite S1a</w:t>
      </w:r>
      <w:r>
        <w:rPr>
          <w:rFonts w:ascii="AdvTT6120e2aa+20" w:hAnsi="AdvTT6120e2aa+20" w:cs="AdvTT6120e2aa+20"/>
          <w:sz w:val="18"/>
          <w:szCs w:val="18"/>
        </w:rPr>
        <w:t>–</w:t>
      </w:r>
      <w:r>
        <w:rPr>
          <w:rFonts w:ascii="AdvTT6120e2aa" w:hAnsi="AdvTT6120e2aa" w:cs="AdvTT6120e2aa"/>
          <w:sz w:val="18"/>
          <w:szCs w:val="18"/>
        </w:rPr>
        <w:t>S1b repetitive units. In other brown frog species, both repeats have different sequences and</w:t>
      </w:r>
    </w:p>
    <w:p w:rsidR="006C2A4E" w:rsidRDefault="006C2A4E" w:rsidP="006C2A4E">
      <w:pPr>
        <w:autoSpaceDE w:val="0"/>
        <w:autoSpaceDN w:val="0"/>
        <w:adjustRightInd w:val="0"/>
        <w:spacing w:after="0" w:line="240" w:lineRule="auto"/>
        <w:rPr>
          <w:rFonts w:ascii="AdvTT6120e2aa" w:hAnsi="AdvTT6120e2aa" w:cs="AdvTT6120e2aa"/>
          <w:sz w:val="18"/>
          <w:szCs w:val="18"/>
        </w:rPr>
      </w:pPr>
      <w:r>
        <w:rPr>
          <w:rFonts w:ascii="AdvTT6120e2aa" w:hAnsi="AdvTT6120e2aa" w:cs="AdvTT6120e2aa"/>
          <w:sz w:val="18"/>
          <w:szCs w:val="18"/>
        </w:rPr>
        <w:t>locations, and are usually organized as separate arrays, although composite S1a</w:t>
      </w:r>
      <w:r>
        <w:rPr>
          <w:rFonts w:ascii="AdvTT6120e2aa+20" w:hAnsi="AdvTT6120e2aa+20" w:cs="AdvTT6120e2aa+20"/>
          <w:sz w:val="18"/>
          <w:szCs w:val="18"/>
        </w:rPr>
        <w:t>–</w:t>
      </w:r>
      <w:r>
        <w:rPr>
          <w:rFonts w:ascii="AdvTT6120e2aa" w:hAnsi="AdvTT6120e2aa" w:cs="AdvTT6120e2aa"/>
          <w:sz w:val="18"/>
          <w:szCs w:val="18"/>
        </w:rPr>
        <w:t>S1b repeats represent a minor, widely variable component in</w:t>
      </w:r>
    </w:p>
    <w:p w:rsidR="006C2A4E" w:rsidRDefault="006C2A4E" w:rsidP="006C2A4E">
      <w:pPr>
        <w:autoSpaceDE w:val="0"/>
        <w:autoSpaceDN w:val="0"/>
        <w:adjustRightInd w:val="0"/>
        <w:spacing w:after="0" w:line="240" w:lineRule="auto"/>
        <w:rPr>
          <w:rFonts w:ascii="AdvTT6120e2aa" w:hAnsi="AdvTT6120e2aa" w:cs="AdvTT6120e2aa"/>
          <w:sz w:val="18"/>
          <w:szCs w:val="18"/>
        </w:rPr>
      </w:pPr>
      <w:r>
        <w:rPr>
          <w:rFonts w:ascii="AdvTT50a2f13e.I" w:hAnsi="AdvTT50a2f13e.I" w:cs="AdvTT50a2f13e.I"/>
          <w:sz w:val="18"/>
          <w:szCs w:val="18"/>
        </w:rPr>
        <w:t>Rana italica</w:t>
      </w:r>
      <w:r>
        <w:rPr>
          <w:rFonts w:ascii="AdvTT6120e2aa" w:hAnsi="AdvTT6120e2aa" w:cs="AdvTT6120e2aa"/>
          <w:sz w:val="18"/>
          <w:szCs w:val="18"/>
        </w:rPr>
        <w:t>. The average genomic sequences indicate that the species contains an enormous number of variants of each repeat derived from</w:t>
      </w:r>
    </w:p>
    <w:p w:rsidR="006C2A4E" w:rsidRDefault="006C2A4E" w:rsidP="006C2A4E">
      <w:pPr>
        <w:autoSpaceDE w:val="0"/>
        <w:autoSpaceDN w:val="0"/>
        <w:adjustRightInd w:val="0"/>
        <w:spacing w:after="0" w:line="240" w:lineRule="auto"/>
        <w:rPr>
          <w:rFonts w:ascii="AdvTT6120e2aa" w:hAnsi="AdvTT6120e2aa" w:cs="AdvTT6120e2aa"/>
          <w:sz w:val="18"/>
          <w:szCs w:val="18"/>
        </w:rPr>
      </w:pPr>
      <w:r>
        <w:rPr>
          <w:rFonts w:ascii="AdvTT6120e2aa" w:hAnsi="AdvTT6120e2aa" w:cs="AdvTT6120e2aa"/>
          <w:sz w:val="18"/>
          <w:szCs w:val="18"/>
        </w:rPr>
        <w:t>a unique, species-specific common sequence. The repeat variability is restricted to specific base changes in specific sequence positions in all</w:t>
      </w:r>
    </w:p>
    <w:p w:rsidR="006C2A4E" w:rsidRDefault="006C2A4E" w:rsidP="006C2A4E">
      <w:pPr>
        <w:autoSpaceDE w:val="0"/>
        <w:autoSpaceDN w:val="0"/>
        <w:adjustRightInd w:val="0"/>
        <w:spacing w:after="0" w:line="240" w:lineRule="auto"/>
        <w:rPr>
          <w:rFonts w:ascii="AdvTT6120e2aa" w:hAnsi="AdvTT6120e2aa" w:cs="AdvTT6120e2aa"/>
          <w:sz w:val="18"/>
          <w:szCs w:val="18"/>
        </w:rPr>
      </w:pPr>
      <w:r>
        <w:rPr>
          <w:rFonts w:ascii="AdvTT6120e2aa" w:hAnsi="AdvTT6120e2aa" w:cs="AdvTT6120e2aa"/>
          <w:sz w:val="18"/>
          <w:szCs w:val="18"/>
        </w:rPr>
        <w:t>population samples.</w:t>
      </w:r>
    </w:p>
    <w:p w:rsidR="006C2A4E" w:rsidRDefault="006C2A4E" w:rsidP="006C2A4E">
      <w:pPr>
        <w:autoSpaceDE w:val="0"/>
        <w:autoSpaceDN w:val="0"/>
        <w:adjustRightInd w:val="0"/>
        <w:spacing w:after="0" w:line="240" w:lineRule="auto"/>
        <w:rPr>
          <w:rFonts w:ascii="AdvTT6120e2aa" w:hAnsi="AdvTT6120e2aa" w:cs="AdvTT6120e2aa"/>
          <w:sz w:val="18"/>
          <w:szCs w:val="18"/>
        </w:rPr>
      </w:pPr>
      <w:r>
        <w:rPr>
          <w:rFonts w:ascii="AdvTT6120e2aa" w:hAnsi="AdvTT6120e2aa" w:cs="AdvTT6120e2aa"/>
          <w:sz w:val="18"/>
          <w:szCs w:val="18"/>
        </w:rPr>
        <w:t>Our data show that the structure and evolution of S1 satellite family is not due to crossing-over and gene conversion, but to a mechanism that</w:t>
      </w:r>
    </w:p>
    <w:p w:rsidR="006C2A4E" w:rsidRDefault="006C2A4E" w:rsidP="006C2A4E">
      <w:pPr>
        <w:autoSpaceDE w:val="0"/>
        <w:autoSpaceDN w:val="0"/>
        <w:adjustRightInd w:val="0"/>
        <w:spacing w:after="0" w:line="240" w:lineRule="auto"/>
        <w:rPr>
          <w:rFonts w:ascii="AdvTT6120e2aa" w:hAnsi="AdvTT6120e2aa" w:cs="AdvTT6120e2aa"/>
          <w:sz w:val="18"/>
          <w:szCs w:val="18"/>
        </w:rPr>
      </w:pPr>
      <w:r>
        <w:rPr>
          <w:rFonts w:ascii="AdvTT6120e2aa" w:hAnsi="AdvTT6120e2aa" w:cs="AdvTT6120e2aa"/>
          <w:sz w:val="18"/>
          <w:szCs w:val="18"/>
        </w:rPr>
        <w:t>maintains the ability of the satellite DNA to assemble in constitutive heterochromatin by replacing altered satellite segments with new arrays</w:t>
      </w:r>
    </w:p>
    <w:p w:rsidR="006C2A4E" w:rsidRDefault="006C2A4E" w:rsidP="006C2A4E">
      <w:pPr>
        <w:autoSpaceDE w:val="0"/>
        <w:autoSpaceDN w:val="0"/>
        <w:adjustRightInd w:val="0"/>
        <w:spacing w:after="0" w:line="240" w:lineRule="auto"/>
        <w:rPr>
          <w:rFonts w:ascii="AdvTT6120e2aa" w:hAnsi="AdvTT6120e2aa" w:cs="AdvTT6120e2aa"/>
          <w:sz w:val="18"/>
          <w:szCs w:val="18"/>
        </w:rPr>
      </w:pPr>
      <w:r>
        <w:rPr>
          <w:rFonts w:ascii="AdvTT6120e2aa" w:hAnsi="AdvTT6120e2aa" w:cs="AdvTT6120e2aa"/>
          <w:sz w:val="18"/>
          <w:szCs w:val="18"/>
        </w:rPr>
        <w:t>generated by rolling circle amplification. The mode of action of this repair process not only directly explains the intra- and inter-specific variability</w:t>
      </w:r>
    </w:p>
    <w:p w:rsidR="006C2A4E" w:rsidRDefault="006C2A4E" w:rsidP="006C2A4E">
      <w:pPr>
        <w:autoSpaceDE w:val="0"/>
        <w:autoSpaceDN w:val="0"/>
        <w:adjustRightInd w:val="0"/>
        <w:spacing w:after="0" w:line="240" w:lineRule="auto"/>
        <w:rPr>
          <w:rFonts w:ascii="AdvTT6120e2aa" w:hAnsi="AdvTT6120e2aa" w:cs="AdvTT6120e2aa"/>
          <w:sz w:val="18"/>
          <w:szCs w:val="18"/>
        </w:rPr>
      </w:pPr>
      <w:r>
        <w:rPr>
          <w:rFonts w:ascii="AdvTT6120e2aa" w:hAnsi="AdvTT6120e2aa" w:cs="AdvTT6120e2aa"/>
          <w:sz w:val="18"/>
          <w:szCs w:val="18"/>
        </w:rPr>
        <w:t>of the structure and organization of the S1 satellite repeats from European brown frogs, but also accounts for all general features of satellite DNA</w:t>
      </w:r>
    </w:p>
    <w:p w:rsidR="006C2A4E" w:rsidRDefault="006C2A4E" w:rsidP="006C2A4E">
      <w:pPr>
        <w:autoSpaceDE w:val="0"/>
        <w:autoSpaceDN w:val="0"/>
        <w:adjustRightInd w:val="0"/>
        <w:spacing w:after="0" w:line="240" w:lineRule="auto"/>
        <w:rPr>
          <w:rFonts w:ascii="AdvTT6120e2aa" w:hAnsi="AdvTT6120e2aa" w:cs="AdvTT6120e2aa"/>
          <w:sz w:val="18"/>
          <w:szCs w:val="18"/>
        </w:rPr>
      </w:pPr>
      <w:r>
        <w:rPr>
          <w:rFonts w:ascii="AdvTT6120e2aa" w:hAnsi="AdvTT6120e2aa" w:cs="AdvTT6120e2aa"/>
          <w:sz w:val="18"/>
          <w:szCs w:val="18"/>
        </w:rPr>
        <w:t>in eukaryotes, including its discontinuous evolution. This repair mechanism can maintain the satellite structure in a species indefinitely, but also</w:t>
      </w:r>
    </w:p>
    <w:p w:rsidR="006C2A4E" w:rsidRDefault="006C2A4E" w:rsidP="006C2A4E">
      <w:pPr>
        <w:autoSpaceDE w:val="0"/>
        <w:autoSpaceDN w:val="0"/>
        <w:adjustRightInd w:val="0"/>
        <w:spacing w:after="0" w:line="240" w:lineRule="auto"/>
        <w:rPr>
          <w:rFonts w:ascii="AdvTT6120e2aa" w:hAnsi="AdvTT6120e2aa" w:cs="AdvTT6120e2aa"/>
          <w:sz w:val="18"/>
          <w:szCs w:val="18"/>
        </w:rPr>
      </w:pPr>
      <w:r>
        <w:rPr>
          <w:rFonts w:ascii="AdvTT6120e2aa" w:hAnsi="AdvTT6120e2aa" w:cs="AdvTT6120e2aa"/>
          <w:sz w:val="18"/>
          <w:szCs w:val="18"/>
        </w:rPr>
        <w:t>promote a rapid generation of new variants or types of satellite DNA when environmental conditions favor the formation of new species.</w:t>
      </w:r>
    </w:p>
    <w:p w:rsidR="00617B5A" w:rsidRDefault="006C2A4E" w:rsidP="006C2A4E">
      <w:r>
        <w:rPr>
          <w:rFonts w:ascii="AdvTT6120e2aa" w:hAnsi="AdvTT6120e2aa" w:cs="AdvTT6120e2aa"/>
          <w:sz w:val="18"/>
          <w:szCs w:val="18"/>
        </w:rPr>
        <w:t>© 2006 Elsevier B.V. All rights reserved.</w:t>
      </w:r>
    </w:p>
    <w:sectPr w:rsidR="00617B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dvTT6120e2a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dvTT50a2f13e.I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dvTT6120e2aa+2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2A4E"/>
    <w:rsid w:val="00617B5A"/>
    <w:rsid w:val="006C2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314</Words>
  <Characters>1792</Characters>
  <Application>Microsoft Office Word</Application>
  <DocSecurity>0</DocSecurity>
  <Lines>14</Lines>
  <Paragraphs>4</Paragraphs>
  <ScaleCrop>false</ScaleCrop>
  <Company/>
  <LinksUpToDate>false</LinksUpToDate>
  <CharactersWithSpaces>2102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Josip</dc:creator>
  <cp:lastModifiedBy>Josip</cp:lastModifiedBy>
  <cp:revision>1</cp:revision>
  <dcterms:created xsi:type="dcterms:W3CDTF">2012-04-30T16:01:00Z</dcterms:created>
  <dcterms:modified xsi:type="dcterms:W3CDTF">2012-04-30T16:02:00Z</dcterms:modified>
</cp:coreProperties>
</file>