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05F" w:rsidRDefault="002D60D3">
      <w:r>
        <w:rPr>
          <w:rFonts w:eastAsia="Times New Roman" w:cs="Times New Roman"/>
        </w:rPr>
        <w:t>We studied the relationship between the HLA specificities associated with multiple sclerosis (MS) susceptibility in southern Italy and the reactivity of the human myelin basic protein (</w:t>
      </w:r>
      <w:proofErr w:type="spellStart"/>
      <w:r>
        <w:rPr>
          <w:rFonts w:eastAsia="Times New Roman" w:cs="Times New Roman"/>
        </w:rPr>
        <w:t>hMBP</w:t>
      </w:r>
      <w:proofErr w:type="spellEnd"/>
      <w:r>
        <w:rPr>
          <w:rFonts w:eastAsia="Times New Roman" w:cs="Times New Roman"/>
        </w:rPr>
        <w:t xml:space="preserve">) immunogenic peptides 84-98 and 143-168, using short-term T-cell lines established from 9 MS patients and from 8 healthy individuals. In our population, DR15 was significantly associated with MS (34.9% in MS versus 13.7% in healthy controls, P &lt; 0.05). This result is in agreement with the association found in northern Europe, but not with data obtained in a population from the island of Sardinia (Italy). In MS patients the frequency of reactive T-cell lines (TCL), tested for fine specificity against the </w:t>
      </w:r>
      <w:proofErr w:type="spellStart"/>
      <w:r>
        <w:rPr>
          <w:rFonts w:eastAsia="Times New Roman" w:cs="Times New Roman"/>
        </w:rPr>
        <w:t>immunodominant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hMBP</w:t>
      </w:r>
      <w:proofErr w:type="spellEnd"/>
      <w:r>
        <w:rPr>
          <w:rFonts w:eastAsia="Times New Roman" w:cs="Times New Roman"/>
        </w:rPr>
        <w:t xml:space="preserve"> peptides 84-98 and 143-168, was increased for the </w:t>
      </w:r>
      <w:proofErr w:type="spellStart"/>
      <w:r>
        <w:rPr>
          <w:rFonts w:eastAsia="Times New Roman" w:cs="Times New Roman"/>
        </w:rPr>
        <w:t>hMBP</w:t>
      </w:r>
      <w:proofErr w:type="spellEnd"/>
      <w:r>
        <w:rPr>
          <w:rFonts w:eastAsia="Times New Roman" w:cs="Times New Roman"/>
        </w:rPr>
        <w:t xml:space="preserve"> </w:t>
      </w:r>
      <w:proofErr w:type="gramStart"/>
      <w:r>
        <w:rPr>
          <w:rFonts w:eastAsia="Times New Roman" w:cs="Times New Roman"/>
        </w:rPr>
        <w:t>143-168 peptide</w:t>
      </w:r>
      <w:proofErr w:type="gramEnd"/>
      <w:r>
        <w:rPr>
          <w:rFonts w:eastAsia="Times New Roman" w:cs="Times New Roman"/>
        </w:rPr>
        <w:t xml:space="preserve"> (P &lt; 0.05) but not for the 84-98 peptide. Although this reactivity was higher in DR15+ MS patients than in DR 15- MS patients, it seemed not to be associated with DR15 specificity in the MS population. Furthermore, there were no significant differences in frequency of reactive TCL to </w:t>
      </w:r>
      <w:proofErr w:type="spellStart"/>
      <w:r>
        <w:rPr>
          <w:rFonts w:eastAsia="Times New Roman" w:cs="Times New Roman"/>
        </w:rPr>
        <w:t>hMBP</w:t>
      </w:r>
      <w:proofErr w:type="spellEnd"/>
      <w:r>
        <w:rPr>
          <w:rFonts w:eastAsia="Times New Roman" w:cs="Times New Roman"/>
        </w:rPr>
        <w:t xml:space="preserve"> peptide 84-98 in DR15-positive or DR15-negative MS patients. Consequently, it appears that peptide 84-98, considered as a relevant </w:t>
      </w:r>
      <w:proofErr w:type="spellStart"/>
      <w:r>
        <w:rPr>
          <w:rFonts w:eastAsia="Times New Roman" w:cs="Times New Roman"/>
        </w:rPr>
        <w:t>autoantigen</w:t>
      </w:r>
      <w:proofErr w:type="spellEnd"/>
      <w:r>
        <w:rPr>
          <w:rFonts w:eastAsia="Times New Roman" w:cs="Times New Roman"/>
        </w:rPr>
        <w:t>, is not implicated in the pathogenesis of MS in our population from southern Italy.</w:t>
      </w:r>
      <w:bookmarkStart w:id="0" w:name="_GoBack"/>
      <w:bookmarkEnd w:id="0"/>
    </w:p>
    <w:sectPr w:rsidR="000C605F" w:rsidSect="00B03FA3">
      <w:pgSz w:w="12240" w:h="15840"/>
      <w:pgMar w:top="1440" w:right="1797" w:bottom="1440" w:left="1797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0D3"/>
    <w:rsid w:val="000C605F"/>
    <w:rsid w:val="002D60D3"/>
    <w:rsid w:val="008D14B1"/>
    <w:rsid w:val="00AF1F38"/>
    <w:rsid w:val="00B03FA3"/>
    <w:rsid w:val="00CD33B0"/>
    <w:rsid w:val="00EB510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3A367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1F3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1F3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1112</Characters>
  <Application>Microsoft Macintosh Word</Application>
  <DocSecurity>0</DocSecurity>
  <Lines>9</Lines>
  <Paragraphs>2</Paragraphs>
  <ScaleCrop>false</ScaleCrop>
  <Company>Duke University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Racioppi</dc:creator>
  <cp:keywords/>
  <dc:description/>
  <cp:lastModifiedBy>Luigi Racioppi</cp:lastModifiedBy>
  <cp:revision>1</cp:revision>
  <dcterms:created xsi:type="dcterms:W3CDTF">2012-07-03T05:12:00Z</dcterms:created>
  <dcterms:modified xsi:type="dcterms:W3CDTF">2012-07-03T05:12:00Z</dcterms:modified>
</cp:coreProperties>
</file>