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0B6D" w:rsidRDefault="004156EF" w:rsidP="00D339D1">
      <w:pPr>
        <w:jc w:val="both"/>
        <w:rPr>
          <w:rFonts w:ascii="Times New Roman" w:hAnsi="Times New Roman" w:cs="Times New Roman"/>
          <w:sz w:val="28"/>
          <w:szCs w:val="28"/>
        </w:rPr>
      </w:pPr>
      <w:r>
        <w:rPr>
          <w:rFonts w:ascii="Times New Roman" w:hAnsi="Times New Roman" w:cs="Times New Roman"/>
          <w:b/>
          <w:sz w:val="28"/>
          <w:szCs w:val="28"/>
        </w:rPr>
        <w:t>Art. 557</w:t>
      </w:r>
    </w:p>
    <w:p w:rsidR="00682633" w:rsidRDefault="00F775C1" w:rsidP="0068263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La norma individua il </w:t>
      </w:r>
      <w:r w:rsidRPr="00D339D1">
        <w:rPr>
          <w:rFonts w:ascii="Times New Roman" w:hAnsi="Times New Roman" w:cs="Times New Roman"/>
          <w:b/>
          <w:sz w:val="28"/>
          <w:szCs w:val="28"/>
        </w:rPr>
        <w:t xml:space="preserve">creditore procedente </w:t>
      </w:r>
      <w:r>
        <w:rPr>
          <w:rFonts w:ascii="Times New Roman" w:hAnsi="Times New Roman" w:cs="Times New Roman"/>
          <w:sz w:val="28"/>
          <w:szCs w:val="28"/>
        </w:rPr>
        <w:t xml:space="preserve">come il soggetto su cui grava </w:t>
      </w:r>
      <w:r w:rsidRPr="00D339D1">
        <w:rPr>
          <w:rFonts w:ascii="Times New Roman" w:hAnsi="Times New Roman" w:cs="Times New Roman"/>
          <w:b/>
          <w:sz w:val="28"/>
          <w:szCs w:val="28"/>
        </w:rPr>
        <w:t>l</w:t>
      </w:r>
      <w:r w:rsidR="00D339D1" w:rsidRPr="00D339D1">
        <w:rPr>
          <w:rFonts w:ascii="Times New Roman" w:hAnsi="Times New Roman" w:cs="Times New Roman"/>
          <w:b/>
          <w:sz w:val="28"/>
          <w:szCs w:val="28"/>
        </w:rPr>
        <w:t>’</w:t>
      </w:r>
      <w:r w:rsidRPr="00D339D1">
        <w:rPr>
          <w:rFonts w:ascii="Times New Roman" w:hAnsi="Times New Roman" w:cs="Times New Roman"/>
          <w:b/>
          <w:sz w:val="28"/>
          <w:szCs w:val="28"/>
        </w:rPr>
        <w:t>onere</w:t>
      </w:r>
      <w:r>
        <w:rPr>
          <w:rFonts w:ascii="Times New Roman" w:hAnsi="Times New Roman" w:cs="Times New Roman"/>
          <w:sz w:val="28"/>
          <w:szCs w:val="28"/>
        </w:rPr>
        <w:t xml:space="preserve"> di </w:t>
      </w:r>
      <w:r w:rsidRPr="00D339D1">
        <w:rPr>
          <w:rFonts w:ascii="Times New Roman" w:hAnsi="Times New Roman" w:cs="Times New Roman"/>
          <w:b/>
          <w:sz w:val="28"/>
          <w:szCs w:val="28"/>
        </w:rPr>
        <w:t>depositare</w:t>
      </w:r>
      <w:r>
        <w:rPr>
          <w:rFonts w:ascii="Times New Roman" w:hAnsi="Times New Roman" w:cs="Times New Roman"/>
          <w:sz w:val="28"/>
          <w:szCs w:val="28"/>
        </w:rPr>
        <w:t xml:space="preserve"> l</w:t>
      </w:r>
      <w:r w:rsidR="00D339D1">
        <w:rPr>
          <w:rFonts w:ascii="Times New Roman" w:hAnsi="Times New Roman" w:cs="Times New Roman"/>
          <w:sz w:val="28"/>
          <w:szCs w:val="28"/>
        </w:rPr>
        <w:t>’</w:t>
      </w:r>
      <w:r>
        <w:rPr>
          <w:rFonts w:ascii="Times New Roman" w:hAnsi="Times New Roman" w:cs="Times New Roman"/>
          <w:sz w:val="28"/>
          <w:szCs w:val="28"/>
        </w:rPr>
        <w:t xml:space="preserve">atto di pignoramento nella cancelleria del tribunale, unitamente </w:t>
      </w:r>
      <w:r w:rsidR="00084418">
        <w:rPr>
          <w:rFonts w:ascii="Times New Roman" w:hAnsi="Times New Roman" w:cs="Times New Roman"/>
          <w:sz w:val="28"/>
          <w:szCs w:val="28"/>
        </w:rPr>
        <w:t xml:space="preserve">alla nota di iscrizione a ruolo </w:t>
      </w:r>
      <w:r w:rsidR="00084418" w:rsidRPr="00084418">
        <w:rPr>
          <w:rFonts w:ascii="Times New Roman" w:hAnsi="Times New Roman" w:cs="Times New Roman"/>
          <w:sz w:val="28"/>
          <w:szCs w:val="28"/>
          <w:highlight w:val="yellow"/>
        </w:rPr>
        <w:t>e a copie conformi del titolo esecutivo e del precetto.</w:t>
      </w:r>
      <w:r>
        <w:rPr>
          <w:rFonts w:ascii="Times New Roman" w:hAnsi="Times New Roman" w:cs="Times New Roman"/>
          <w:sz w:val="28"/>
          <w:szCs w:val="28"/>
        </w:rPr>
        <w:t xml:space="preserve"> </w:t>
      </w:r>
    </w:p>
    <w:p w:rsidR="00F775C1" w:rsidRDefault="00F775C1" w:rsidP="0068263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Il deposito, che avviene esclusivamente con </w:t>
      </w:r>
      <w:r w:rsidRPr="00D339D1">
        <w:rPr>
          <w:rFonts w:ascii="Times New Roman" w:hAnsi="Times New Roman" w:cs="Times New Roman"/>
          <w:b/>
          <w:sz w:val="28"/>
          <w:szCs w:val="28"/>
        </w:rPr>
        <w:t>modalità telematica</w:t>
      </w:r>
      <w:r>
        <w:rPr>
          <w:rFonts w:ascii="Times New Roman" w:hAnsi="Times New Roman" w:cs="Times New Roman"/>
          <w:sz w:val="28"/>
          <w:szCs w:val="28"/>
        </w:rPr>
        <w:t>, consegue alla consegna che l</w:t>
      </w:r>
      <w:r w:rsidR="00D339D1">
        <w:rPr>
          <w:rFonts w:ascii="Times New Roman" w:hAnsi="Times New Roman" w:cs="Times New Roman"/>
          <w:sz w:val="28"/>
          <w:szCs w:val="28"/>
        </w:rPr>
        <w:t>’</w:t>
      </w:r>
      <w:r>
        <w:rPr>
          <w:rFonts w:ascii="Times New Roman" w:hAnsi="Times New Roman" w:cs="Times New Roman"/>
          <w:sz w:val="28"/>
          <w:szCs w:val="28"/>
        </w:rPr>
        <w:t>ufficiale giudiziario fa al creditore dell</w:t>
      </w:r>
      <w:r w:rsidR="00D339D1">
        <w:rPr>
          <w:rFonts w:ascii="Times New Roman" w:hAnsi="Times New Roman" w:cs="Times New Roman"/>
          <w:sz w:val="28"/>
          <w:szCs w:val="28"/>
        </w:rPr>
        <w:t>’</w:t>
      </w:r>
      <w:r>
        <w:rPr>
          <w:rFonts w:ascii="Times New Roman" w:hAnsi="Times New Roman" w:cs="Times New Roman"/>
          <w:sz w:val="28"/>
          <w:szCs w:val="28"/>
        </w:rPr>
        <w:t>atto di pignoramen</w:t>
      </w:r>
      <w:r w:rsidR="00286AA0">
        <w:rPr>
          <w:rFonts w:ascii="Times New Roman" w:hAnsi="Times New Roman" w:cs="Times New Roman"/>
          <w:sz w:val="28"/>
          <w:szCs w:val="28"/>
        </w:rPr>
        <w:t>to e della nota di trascrizione</w:t>
      </w:r>
      <w:r>
        <w:rPr>
          <w:rFonts w:ascii="Times New Roman" w:hAnsi="Times New Roman" w:cs="Times New Roman"/>
          <w:sz w:val="28"/>
          <w:szCs w:val="28"/>
        </w:rPr>
        <w:t xml:space="preserve"> presso </w:t>
      </w:r>
      <w:r w:rsidRPr="00924CA6">
        <w:rPr>
          <w:rFonts w:ascii="Times New Roman" w:hAnsi="Times New Roman" w:cs="Times New Roman"/>
          <w:sz w:val="28"/>
          <w:szCs w:val="28"/>
        </w:rPr>
        <w:t>la conservatoria dei registri immobiliari</w:t>
      </w:r>
      <w:r>
        <w:rPr>
          <w:rFonts w:ascii="Times New Roman" w:hAnsi="Times New Roman" w:cs="Times New Roman"/>
          <w:sz w:val="28"/>
          <w:szCs w:val="28"/>
        </w:rPr>
        <w:t xml:space="preserve"> e deve essere effettuato entro il termine perentorio di </w:t>
      </w:r>
      <w:r w:rsidRPr="0000616A">
        <w:rPr>
          <w:rFonts w:ascii="Times New Roman" w:hAnsi="Times New Roman" w:cs="Times New Roman"/>
          <w:b/>
          <w:sz w:val="28"/>
          <w:szCs w:val="28"/>
        </w:rPr>
        <w:t>quindici giorni</w:t>
      </w:r>
      <w:r>
        <w:rPr>
          <w:rFonts w:ascii="Times New Roman" w:hAnsi="Times New Roman" w:cs="Times New Roman"/>
          <w:sz w:val="28"/>
          <w:szCs w:val="28"/>
        </w:rPr>
        <w:t xml:space="preserve"> dalla predetta consegna.</w:t>
      </w:r>
    </w:p>
    <w:p w:rsidR="00CC0533" w:rsidRDefault="00F775C1" w:rsidP="0068263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Si forma così il fascicolo dell</w:t>
      </w:r>
      <w:r w:rsidR="00D339D1">
        <w:rPr>
          <w:rFonts w:ascii="Times New Roman" w:hAnsi="Times New Roman" w:cs="Times New Roman"/>
          <w:sz w:val="28"/>
          <w:szCs w:val="28"/>
        </w:rPr>
        <w:t>’</w:t>
      </w:r>
      <w:r>
        <w:rPr>
          <w:rFonts w:ascii="Times New Roman" w:hAnsi="Times New Roman" w:cs="Times New Roman"/>
          <w:sz w:val="28"/>
          <w:szCs w:val="28"/>
        </w:rPr>
        <w:t xml:space="preserve">esecuzione </w:t>
      </w:r>
      <w:r w:rsidRPr="00394B70">
        <w:rPr>
          <w:rFonts w:ascii="Times New Roman" w:hAnsi="Times New Roman" w:cs="Times New Roman"/>
          <w:sz w:val="28"/>
          <w:szCs w:val="28"/>
        </w:rPr>
        <w:t>→</w:t>
      </w:r>
      <w:r w:rsidR="00D339D1">
        <w:rPr>
          <w:rFonts w:ascii="Times New Roman" w:hAnsi="Times New Roman" w:cs="Times New Roman"/>
          <w:sz w:val="28"/>
          <w:szCs w:val="28"/>
        </w:rPr>
        <w:t xml:space="preserve"> art. 36 </w:t>
      </w:r>
      <w:proofErr w:type="spellStart"/>
      <w:r w:rsidR="00D339D1">
        <w:rPr>
          <w:rFonts w:ascii="Times New Roman" w:hAnsi="Times New Roman" w:cs="Times New Roman"/>
          <w:sz w:val="28"/>
          <w:szCs w:val="28"/>
        </w:rPr>
        <w:t>disp</w:t>
      </w:r>
      <w:proofErr w:type="spellEnd"/>
      <w:r w:rsidR="00D339D1">
        <w:rPr>
          <w:rFonts w:ascii="Times New Roman" w:hAnsi="Times New Roman" w:cs="Times New Roman"/>
          <w:sz w:val="28"/>
          <w:szCs w:val="28"/>
        </w:rPr>
        <w:t xml:space="preserve">. </w:t>
      </w:r>
      <w:proofErr w:type="spellStart"/>
      <w:r w:rsidR="00D339D1">
        <w:rPr>
          <w:rFonts w:ascii="Times New Roman" w:hAnsi="Times New Roman" w:cs="Times New Roman"/>
          <w:sz w:val="28"/>
          <w:szCs w:val="28"/>
        </w:rPr>
        <w:t>att</w:t>
      </w:r>
      <w:proofErr w:type="spellEnd"/>
      <w:r w:rsidR="00D339D1">
        <w:rPr>
          <w:rFonts w:ascii="Times New Roman" w:hAnsi="Times New Roman" w:cs="Times New Roman"/>
          <w:sz w:val="28"/>
          <w:szCs w:val="28"/>
        </w:rPr>
        <w:t>.</w:t>
      </w:r>
      <w:r w:rsidR="00CC0533">
        <w:rPr>
          <w:rFonts w:ascii="Times New Roman" w:hAnsi="Times New Roman" w:cs="Times New Roman"/>
          <w:sz w:val="28"/>
          <w:szCs w:val="28"/>
        </w:rPr>
        <w:t>, art. 488</w:t>
      </w:r>
      <w:r w:rsidR="009A0007">
        <w:rPr>
          <w:rFonts w:ascii="Times New Roman" w:hAnsi="Times New Roman" w:cs="Times New Roman"/>
          <w:sz w:val="28"/>
          <w:szCs w:val="28"/>
        </w:rPr>
        <w:t xml:space="preserve"> </w:t>
      </w:r>
      <w:proofErr w:type="spellStart"/>
      <w:r w:rsidR="009A0007">
        <w:rPr>
          <w:rFonts w:ascii="Times New Roman" w:hAnsi="Times New Roman" w:cs="Times New Roman"/>
          <w:sz w:val="28"/>
          <w:szCs w:val="28"/>
        </w:rPr>
        <w:t>c.p.c</w:t>
      </w:r>
      <w:r w:rsidR="00CC0533">
        <w:rPr>
          <w:rFonts w:ascii="Times New Roman" w:hAnsi="Times New Roman" w:cs="Times New Roman"/>
          <w:sz w:val="28"/>
          <w:szCs w:val="28"/>
        </w:rPr>
        <w:t>.</w:t>
      </w:r>
      <w:proofErr w:type="spellEnd"/>
      <w:r w:rsidR="00CC0533">
        <w:rPr>
          <w:rFonts w:ascii="Times New Roman" w:hAnsi="Times New Roman" w:cs="Times New Roman"/>
          <w:sz w:val="28"/>
          <w:szCs w:val="28"/>
        </w:rPr>
        <w:t xml:space="preserve"> </w:t>
      </w:r>
    </w:p>
    <w:p w:rsidR="00A01A4A" w:rsidRDefault="00A01A4A" w:rsidP="00682633">
      <w:pPr>
        <w:spacing w:after="0" w:line="240" w:lineRule="auto"/>
        <w:jc w:val="both"/>
        <w:rPr>
          <w:rFonts w:ascii="Times New Roman" w:hAnsi="Times New Roman" w:cs="Times New Roman"/>
          <w:sz w:val="28"/>
          <w:szCs w:val="28"/>
        </w:rPr>
      </w:pPr>
      <w:r w:rsidRPr="00B62062">
        <w:rPr>
          <w:rFonts w:ascii="Times New Roman" w:hAnsi="Times New Roman" w:cs="Times New Roman"/>
          <w:sz w:val="28"/>
          <w:szCs w:val="28"/>
          <w:highlight w:val="yellow"/>
        </w:rPr>
        <w:t>L’assetto normativo è cambiato con la legge n. 162 del 2014, perché prima era previsto che fosse l’ufficiale giudiziario a dover depositare immediatamente l’atto di pignoramento notificato e appena possibile la nota di trascrizione restituitagli da</w:t>
      </w:r>
      <w:r w:rsidR="009A0007">
        <w:rPr>
          <w:rFonts w:ascii="Times New Roman" w:hAnsi="Times New Roman" w:cs="Times New Roman"/>
          <w:sz w:val="28"/>
          <w:szCs w:val="28"/>
          <w:highlight w:val="yellow"/>
        </w:rPr>
        <w:t>l</w:t>
      </w:r>
      <w:r w:rsidRPr="00B62062">
        <w:rPr>
          <w:rFonts w:ascii="Times New Roman" w:hAnsi="Times New Roman" w:cs="Times New Roman"/>
          <w:sz w:val="28"/>
          <w:szCs w:val="28"/>
          <w:highlight w:val="yellow"/>
        </w:rPr>
        <w:t xml:space="preserve"> conservatore dei registri immobiliari. </w:t>
      </w:r>
      <w:r w:rsidR="00B62062" w:rsidRPr="00B62062">
        <w:rPr>
          <w:rFonts w:ascii="Times New Roman" w:hAnsi="Times New Roman" w:cs="Times New Roman"/>
          <w:sz w:val="28"/>
          <w:szCs w:val="28"/>
          <w:highlight w:val="yellow"/>
        </w:rPr>
        <w:t>Oggi, invece, l’ufficiale giudiziario, eseguito il pignoramento, si limita a consegnare il verbale recante la descrizione delle attività da lui compiute al creditore che ha l’onere di provvedere alla tempestiva iscrizione a ruolo del procedimento dinnanzi al tribunale competente per l’esecuzione</w:t>
      </w:r>
      <w:r w:rsidR="00B62062" w:rsidRPr="0005167B">
        <w:rPr>
          <w:rFonts w:ascii="Times New Roman" w:hAnsi="Times New Roman" w:cs="Times New Roman"/>
          <w:sz w:val="28"/>
          <w:szCs w:val="28"/>
          <w:highlight w:val="yellow"/>
        </w:rPr>
        <w:t>.</w:t>
      </w:r>
      <w:r w:rsidR="009A0007" w:rsidRPr="0005167B">
        <w:rPr>
          <w:rFonts w:ascii="Times New Roman" w:hAnsi="Times New Roman" w:cs="Times New Roman"/>
          <w:sz w:val="28"/>
          <w:szCs w:val="28"/>
          <w:highlight w:val="yellow"/>
        </w:rPr>
        <w:t xml:space="preserve"> E, pertanto, nell’espropriazione immobiliare </w:t>
      </w:r>
      <w:r w:rsidR="0005167B" w:rsidRPr="0005167B">
        <w:rPr>
          <w:rFonts w:ascii="Times New Roman" w:hAnsi="Times New Roman" w:cs="Times New Roman"/>
          <w:sz w:val="28"/>
          <w:szCs w:val="28"/>
          <w:highlight w:val="yellow"/>
        </w:rPr>
        <w:t xml:space="preserve">consegna senza ritardo al creditore l’atto di pignoramento e la nota di trascrizione </w:t>
      </w:r>
      <w:proofErr w:type="spellStart"/>
      <w:r w:rsidR="0005167B" w:rsidRPr="0005167B">
        <w:rPr>
          <w:rFonts w:ascii="Times New Roman" w:hAnsi="Times New Roman" w:cs="Times New Roman"/>
          <w:sz w:val="28"/>
          <w:szCs w:val="28"/>
          <w:highlight w:val="yellow"/>
        </w:rPr>
        <w:t>affinchè</w:t>
      </w:r>
      <w:proofErr w:type="spellEnd"/>
      <w:r w:rsidR="0005167B" w:rsidRPr="0005167B">
        <w:rPr>
          <w:rFonts w:ascii="Times New Roman" w:hAnsi="Times New Roman" w:cs="Times New Roman"/>
          <w:sz w:val="28"/>
          <w:szCs w:val="28"/>
          <w:highlight w:val="yellow"/>
        </w:rPr>
        <w:t xml:space="preserve"> questi possa effettuare il deposito, pena l’inefficacia del pignoramento stesso.</w:t>
      </w:r>
      <w:r w:rsidR="00B62062">
        <w:rPr>
          <w:rFonts w:ascii="Times New Roman" w:hAnsi="Times New Roman" w:cs="Times New Roman"/>
          <w:sz w:val="28"/>
          <w:szCs w:val="28"/>
        </w:rPr>
        <w:t xml:space="preserve"> </w:t>
      </w:r>
    </w:p>
    <w:p w:rsidR="00F775C1" w:rsidRDefault="00F775C1" w:rsidP="00682633">
      <w:pPr>
        <w:spacing w:after="0" w:line="240" w:lineRule="auto"/>
        <w:jc w:val="both"/>
        <w:rPr>
          <w:rFonts w:ascii="Times New Roman" w:hAnsi="Times New Roman" w:cs="Times New Roman"/>
          <w:sz w:val="28"/>
          <w:szCs w:val="28"/>
        </w:rPr>
      </w:pPr>
      <w:r w:rsidRPr="00F775C1">
        <w:rPr>
          <w:rFonts w:ascii="Times New Roman" w:hAnsi="Times New Roman" w:cs="Times New Roman"/>
          <w:sz w:val="28"/>
          <w:szCs w:val="28"/>
        </w:rPr>
        <w:t>La </w:t>
      </w:r>
      <w:r w:rsidRPr="00D339D1">
        <w:rPr>
          <w:rFonts w:ascii="Times New Roman" w:hAnsi="Times New Roman" w:cs="Times New Roman"/>
          <w:b/>
          <w:bCs/>
          <w:sz w:val="28"/>
          <w:szCs w:val="28"/>
        </w:rPr>
        <w:t>competenza</w:t>
      </w:r>
      <w:r>
        <w:rPr>
          <w:rFonts w:ascii="Times New Roman" w:hAnsi="Times New Roman" w:cs="Times New Roman"/>
          <w:bCs/>
          <w:sz w:val="28"/>
          <w:szCs w:val="28"/>
        </w:rPr>
        <w:t xml:space="preserve"> </w:t>
      </w:r>
      <w:r w:rsidRPr="00F775C1">
        <w:rPr>
          <w:rFonts w:ascii="Times New Roman" w:hAnsi="Times New Roman" w:cs="Times New Roman"/>
          <w:sz w:val="28"/>
          <w:szCs w:val="28"/>
        </w:rPr>
        <w:t>è quella nel cui foro si trova l</w:t>
      </w:r>
      <w:r w:rsidR="00D339D1">
        <w:rPr>
          <w:rFonts w:ascii="Times New Roman" w:hAnsi="Times New Roman" w:cs="Times New Roman"/>
          <w:sz w:val="28"/>
          <w:szCs w:val="28"/>
        </w:rPr>
        <w:t>’</w:t>
      </w:r>
      <w:r w:rsidRPr="00F775C1">
        <w:rPr>
          <w:rFonts w:ascii="Times New Roman" w:hAnsi="Times New Roman" w:cs="Times New Roman"/>
          <w:sz w:val="28"/>
          <w:szCs w:val="28"/>
        </w:rPr>
        <w:t xml:space="preserve">immobile pignorato </w:t>
      </w:r>
      <w:r w:rsidRPr="00394B70">
        <w:rPr>
          <w:rFonts w:ascii="Times New Roman" w:hAnsi="Times New Roman" w:cs="Times New Roman"/>
          <w:sz w:val="28"/>
          <w:szCs w:val="28"/>
        </w:rPr>
        <w:t>→</w:t>
      </w:r>
      <w:r>
        <w:rPr>
          <w:rFonts w:ascii="Times New Roman" w:hAnsi="Times New Roman" w:cs="Times New Roman"/>
          <w:sz w:val="28"/>
          <w:szCs w:val="28"/>
        </w:rPr>
        <w:t xml:space="preserve"> art. 26, ma</w:t>
      </w:r>
      <w:r w:rsidRPr="00F775C1">
        <w:rPr>
          <w:rFonts w:ascii="Times New Roman" w:hAnsi="Times New Roman" w:cs="Times New Roman"/>
          <w:sz w:val="28"/>
          <w:szCs w:val="28"/>
        </w:rPr>
        <w:t xml:space="preserve"> se questo è ricompreso in più circoscrizioni giudiziarie, l</w:t>
      </w:r>
      <w:r w:rsidR="00D339D1">
        <w:rPr>
          <w:rFonts w:ascii="Times New Roman" w:hAnsi="Times New Roman" w:cs="Times New Roman"/>
          <w:sz w:val="28"/>
          <w:szCs w:val="28"/>
        </w:rPr>
        <w:t>’</w:t>
      </w:r>
      <w:r w:rsidRPr="00F775C1">
        <w:rPr>
          <w:rFonts w:ascii="Times New Roman" w:hAnsi="Times New Roman" w:cs="Times New Roman"/>
          <w:sz w:val="28"/>
          <w:szCs w:val="28"/>
        </w:rPr>
        <w:t>atto dovrà essere depositato nella cancelleria del giudice della circoscrizione in cui è compresa la parte soggetta a maggior tributo verso lo Stato, ovvero, in mancanza di soggezione a tributo, di ogni giudice nella cui circoscrizione si trovi una parte dell</w:t>
      </w:r>
      <w:r w:rsidR="00D339D1">
        <w:rPr>
          <w:rFonts w:ascii="Times New Roman" w:hAnsi="Times New Roman" w:cs="Times New Roman"/>
          <w:sz w:val="28"/>
          <w:szCs w:val="28"/>
        </w:rPr>
        <w:t>’</w:t>
      </w:r>
      <w:r w:rsidRPr="00F775C1">
        <w:rPr>
          <w:rFonts w:ascii="Times New Roman" w:hAnsi="Times New Roman" w:cs="Times New Roman"/>
          <w:sz w:val="28"/>
          <w:szCs w:val="28"/>
        </w:rPr>
        <w:t>immobile</w:t>
      </w:r>
      <w:r>
        <w:rPr>
          <w:rFonts w:ascii="Times New Roman" w:hAnsi="Times New Roman" w:cs="Times New Roman"/>
          <w:sz w:val="28"/>
          <w:szCs w:val="28"/>
        </w:rPr>
        <w:t xml:space="preserve"> </w:t>
      </w:r>
      <w:r w:rsidRPr="00394B70">
        <w:rPr>
          <w:rFonts w:ascii="Times New Roman" w:hAnsi="Times New Roman" w:cs="Times New Roman"/>
          <w:sz w:val="28"/>
          <w:szCs w:val="28"/>
        </w:rPr>
        <w:t>→</w:t>
      </w:r>
      <w:r>
        <w:rPr>
          <w:rFonts w:ascii="Times New Roman" w:hAnsi="Times New Roman" w:cs="Times New Roman"/>
          <w:sz w:val="28"/>
          <w:szCs w:val="28"/>
        </w:rPr>
        <w:t xml:space="preserve"> 21.</w:t>
      </w:r>
    </w:p>
    <w:p w:rsidR="0000616A" w:rsidRDefault="00F775C1" w:rsidP="0068263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La </w:t>
      </w:r>
      <w:r w:rsidRPr="00D339D1">
        <w:rPr>
          <w:rFonts w:ascii="Times New Roman" w:hAnsi="Times New Roman" w:cs="Times New Roman"/>
          <w:b/>
          <w:sz w:val="28"/>
          <w:szCs w:val="28"/>
        </w:rPr>
        <w:t>natura perentoria del termine</w:t>
      </w:r>
      <w:r>
        <w:rPr>
          <w:rFonts w:ascii="Times New Roman" w:hAnsi="Times New Roman" w:cs="Times New Roman"/>
          <w:sz w:val="28"/>
          <w:szCs w:val="28"/>
        </w:rPr>
        <w:t xml:space="preserve"> per il deposito si ricava dalla conseguenza prevista per il suo mancato rispetto, consistente </w:t>
      </w:r>
      <w:r w:rsidRPr="00924CA6">
        <w:rPr>
          <w:rFonts w:ascii="Times New Roman" w:hAnsi="Times New Roman" w:cs="Times New Roman"/>
          <w:b/>
          <w:sz w:val="28"/>
          <w:szCs w:val="28"/>
        </w:rPr>
        <w:t>nell</w:t>
      </w:r>
      <w:r w:rsidR="00D339D1" w:rsidRPr="00924CA6">
        <w:rPr>
          <w:rFonts w:ascii="Times New Roman" w:hAnsi="Times New Roman" w:cs="Times New Roman"/>
          <w:b/>
          <w:sz w:val="28"/>
          <w:szCs w:val="28"/>
        </w:rPr>
        <w:t>’</w:t>
      </w:r>
      <w:r w:rsidRPr="00924CA6">
        <w:rPr>
          <w:rFonts w:ascii="Times New Roman" w:hAnsi="Times New Roman" w:cs="Times New Roman"/>
          <w:b/>
          <w:sz w:val="28"/>
          <w:szCs w:val="28"/>
        </w:rPr>
        <w:t>inefficacia del pignoramento</w:t>
      </w:r>
      <w:r>
        <w:rPr>
          <w:rFonts w:ascii="Times New Roman" w:hAnsi="Times New Roman" w:cs="Times New Roman"/>
          <w:sz w:val="28"/>
          <w:szCs w:val="28"/>
        </w:rPr>
        <w:t xml:space="preserve"> e nella conseguente estinzione del processo esecutivo.</w:t>
      </w:r>
      <w:r w:rsidRPr="00F775C1">
        <w:rPr>
          <w:rFonts w:ascii="Times New Roman" w:hAnsi="Times New Roman" w:cs="Times New Roman"/>
          <w:sz w:val="28"/>
          <w:szCs w:val="28"/>
        </w:rPr>
        <w:t> </w:t>
      </w:r>
      <w:r w:rsidR="0005167B" w:rsidRPr="00101DD1">
        <w:rPr>
          <w:rFonts w:ascii="Times New Roman" w:hAnsi="Times New Roman" w:cs="Times New Roman"/>
          <w:sz w:val="28"/>
          <w:szCs w:val="28"/>
          <w:highlight w:val="yellow"/>
        </w:rPr>
        <w:t>Va</w:t>
      </w:r>
      <w:r w:rsidR="00101DD1" w:rsidRPr="00101DD1">
        <w:rPr>
          <w:rFonts w:ascii="Times New Roman" w:hAnsi="Times New Roman" w:cs="Times New Roman"/>
          <w:sz w:val="28"/>
          <w:szCs w:val="28"/>
          <w:highlight w:val="yellow"/>
        </w:rPr>
        <w:t>, peraltro, evidenziato</w:t>
      </w:r>
      <w:r w:rsidR="0005167B" w:rsidRPr="00101DD1">
        <w:rPr>
          <w:rFonts w:ascii="Times New Roman" w:hAnsi="Times New Roman" w:cs="Times New Roman"/>
          <w:sz w:val="28"/>
          <w:szCs w:val="28"/>
          <w:highlight w:val="yellow"/>
        </w:rPr>
        <w:t xml:space="preserve"> che sebbene ai sensi del comma 1° il creditore abbia l’onere di depositare, oltre alle copie conformi dell’atto di pignoramento, del titolo esecutivo e del precetto, anche la copia della nota di trascrizione, il mancato deposito della suddetta nota non è sanzionato con la inefficacia del pignoramento.</w:t>
      </w:r>
      <w:r w:rsidR="00101DD1" w:rsidRPr="00101DD1">
        <w:rPr>
          <w:rFonts w:ascii="Times New Roman" w:hAnsi="Times New Roman" w:cs="Times New Roman"/>
          <w:sz w:val="28"/>
          <w:szCs w:val="28"/>
          <w:highlight w:val="yellow"/>
        </w:rPr>
        <w:t xml:space="preserve"> Tanto si evinc</w:t>
      </w:r>
      <w:r w:rsidR="00101DD1">
        <w:rPr>
          <w:rFonts w:ascii="Times New Roman" w:hAnsi="Times New Roman" w:cs="Times New Roman"/>
          <w:sz w:val="28"/>
          <w:szCs w:val="28"/>
          <w:highlight w:val="yellow"/>
        </w:rPr>
        <w:t>e dal comma 2° in cui si legge</w:t>
      </w:r>
      <w:r w:rsidR="00101DD1" w:rsidRPr="00101DD1">
        <w:rPr>
          <w:rFonts w:ascii="Times New Roman" w:hAnsi="Times New Roman" w:cs="Times New Roman"/>
          <w:sz w:val="28"/>
          <w:szCs w:val="28"/>
          <w:highlight w:val="yellow"/>
        </w:rPr>
        <w:t xml:space="preserve"> che “il pignoramento perde efficacia quando la nota di iscrizione a ruolo e le copie dell’atto di pignoramento, del titolo esecutivo e del precetto sono depositate oltre il termine di quindici giorni dalla consegna al creditore</w:t>
      </w:r>
      <w:r w:rsidR="00101DD1" w:rsidRPr="00A67AF0">
        <w:rPr>
          <w:rFonts w:ascii="Times New Roman" w:hAnsi="Times New Roman" w:cs="Times New Roman"/>
          <w:sz w:val="28"/>
          <w:szCs w:val="28"/>
          <w:highlight w:val="yellow"/>
        </w:rPr>
        <w:t>”.</w:t>
      </w:r>
      <w:r w:rsidR="00E079B9" w:rsidRPr="00A67AF0">
        <w:rPr>
          <w:rFonts w:ascii="Times New Roman" w:hAnsi="Times New Roman" w:cs="Times New Roman"/>
          <w:sz w:val="28"/>
          <w:szCs w:val="28"/>
          <w:highlight w:val="yellow"/>
        </w:rPr>
        <w:t xml:space="preserve"> Ebbene, più che una dimenticanza sembra essere una scelta consapevole del legislatore che ha voluto scongiurare il rischio che il creditore possa trovarsi nella impossibilità di rispettare il termine perentorio per causa a lui non imputabile, potrebbe cioè accadere nella prassi che la restituzione da parte della conservatoria della nota di trascrizione </w:t>
      </w:r>
      <w:r w:rsidR="00A67AF0" w:rsidRPr="00A67AF0">
        <w:rPr>
          <w:rFonts w:ascii="Times New Roman" w:hAnsi="Times New Roman" w:cs="Times New Roman"/>
          <w:sz w:val="28"/>
          <w:szCs w:val="28"/>
          <w:highlight w:val="yellow"/>
        </w:rPr>
        <w:t>avvenga con ritardo per ragioni completamente estranee alla volontà e solerzia del creditore.</w:t>
      </w:r>
      <w:r w:rsidR="00E079B9" w:rsidRPr="00A67AF0">
        <w:rPr>
          <w:rFonts w:ascii="Times New Roman" w:hAnsi="Times New Roman" w:cs="Times New Roman"/>
          <w:sz w:val="28"/>
          <w:szCs w:val="28"/>
          <w:highlight w:val="yellow"/>
        </w:rPr>
        <w:t xml:space="preserve"> </w:t>
      </w:r>
      <w:r w:rsidR="00A67AF0" w:rsidRPr="00A67AF0">
        <w:rPr>
          <w:rFonts w:ascii="Times New Roman" w:hAnsi="Times New Roman" w:cs="Times New Roman"/>
          <w:sz w:val="28"/>
          <w:szCs w:val="28"/>
          <w:highlight w:val="yellow"/>
        </w:rPr>
        <w:t xml:space="preserve">Si può, allora, ritenere che la nota di trascrizione possa essere depositata anche in un momento successivo, ma comunque non oltre il termine per la presentazione dell’istanza di vendita, visto che la trascrizione segna il momento in cui il pignoramento si intende perfezionato, se non altro per gli effetti sostanziali nei confronti dei terzi (vedi </w:t>
      </w:r>
      <w:r w:rsidR="00A67AF0" w:rsidRPr="00A67AF0">
        <w:rPr>
          <w:rFonts w:ascii="Times New Roman" w:hAnsi="Times New Roman" w:cs="Times New Roman"/>
          <w:i/>
          <w:sz w:val="28"/>
          <w:szCs w:val="28"/>
          <w:highlight w:val="yellow"/>
        </w:rPr>
        <w:t>sub</w:t>
      </w:r>
      <w:r w:rsidR="00A67AF0" w:rsidRPr="00A67AF0">
        <w:rPr>
          <w:rFonts w:ascii="Times New Roman" w:hAnsi="Times New Roman" w:cs="Times New Roman"/>
          <w:sz w:val="28"/>
          <w:szCs w:val="28"/>
          <w:highlight w:val="yellow"/>
        </w:rPr>
        <w:t xml:space="preserve"> art. 555).</w:t>
      </w:r>
    </w:p>
    <w:p w:rsidR="00682633" w:rsidRPr="007379F2" w:rsidRDefault="0000616A" w:rsidP="00682633">
      <w:pPr>
        <w:spacing w:after="0" w:line="240" w:lineRule="auto"/>
        <w:jc w:val="both"/>
        <w:rPr>
          <w:rFonts w:ascii="Times New Roman" w:hAnsi="Times New Roman" w:cs="Times New Roman"/>
          <w:sz w:val="28"/>
          <w:szCs w:val="28"/>
        </w:rPr>
      </w:pPr>
      <w:r w:rsidRPr="00800814">
        <w:rPr>
          <w:rFonts w:ascii="Times New Roman" w:hAnsi="Times New Roman" w:cs="Times New Roman"/>
          <w:sz w:val="28"/>
          <w:szCs w:val="28"/>
          <w:highlight w:val="yellow"/>
        </w:rPr>
        <w:lastRenderedPageBreak/>
        <w:t xml:space="preserve">Un’ultima </w:t>
      </w:r>
      <w:r w:rsidR="002207C5" w:rsidRPr="00800814">
        <w:rPr>
          <w:rFonts w:ascii="Times New Roman" w:hAnsi="Times New Roman" w:cs="Times New Roman"/>
          <w:sz w:val="28"/>
          <w:szCs w:val="28"/>
          <w:highlight w:val="yellow"/>
        </w:rPr>
        <w:t xml:space="preserve">precisazione </w:t>
      </w:r>
      <w:r w:rsidRPr="00800814">
        <w:rPr>
          <w:rFonts w:ascii="Times New Roman" w:hAnsi="Times New Roman" w:cs="Times New Roman"/>
          <w:sz w:val="28"/>
          <w:szCs w:val="28"/>
          <w:highlight w:val="yellow"/>
        </w:rPr>
        <w:t xml:space="preserve">va fatta pensando alla </w:t>
      </w:r>
      <w:r w:rsidR="005A24F5" w:rsidRPr="00800814">
        <w:rPr>
          <w:rFonts w:ascii="Times New Roman" w:hAnsi="Times New Roman" w:cs="Times New Roman"/>
          <w:sz w:val="28"/>
          <w:szCs w:val="28"/>
          <w:highlight w:val="yellow"/>
        </w:rPr>
        <w:t xml:space="preserve">eventualità che l’iscrizione a ruolo sia </w:t>
      </w:r>
      <w:r w:rsidR="002207C5" w:rsidRPr="00800814">
        <w:rPr>
          <w:rFonts w:ascii="Times New Roman" w:hAnsi="Times New Roman" w:cs="Times New Roman"/>
          <w:sz w:val="28"/>
          <w:szCs w:val="28"/>
          <w:highlight w:val="yellow"/>
        </w:rPr>
        <w:t>compiuta</w:t>
      </w:r>
      <w:r w:rsidR="005A24F5" w:rsidRPr="00800814">
        <w:rPr>
          <w:rFonts w:ascii="Times New Roman" w:hAnsi="Times New Roman" w:cs="Times New Roman"/>
          <w:sz w:val="28"/>
          <w:szCs w:val="28"/>
          <w:highlight w:val="yellow"/>
        </w:rPr>
        <w:t xml:space="preserve"> da soggetti diversi dal creditore </w:t>
      </w:r>
      <w:r w:rsidR="005A24F5" w:rsidRPr="00800814">
        <w:rPr>
          <w:rFonts w:ascii="Times New Roman" w:hAnsi="Times New Roman" w:cs="Times New Roman"/>
          <w:sz w:val="28"/>
          <w:szCs w:val="28"/>
          <w:highlight w:val="yellow"/>
        </w:rPr>
        <w:t>→</w:t>
      </w:r>
      <w:r w:rsidR="005A24F5" w:rsidRPr="00800814">
        <w:rPr>
          <w:rFonts w:ascii="Times New Roman" w:hAnsi="Times New Roman" w:cs="Times New Roman"/>
          <w:sz w:val="28"/>
          <w:szCs w:val="28"/>
          <w:highlight w:val="yellow"/>
        </w:rPr>
        <w:t xml:space="preserve"> 159 ter </w:t>
      </w:r>
      <w:proofErr w:type="spellStart"/>
      <w:r w:rsidR="005A24F5" w:rsidRPr="00800814">
        <w:rPr>
          <w:rFonts w:ascii="Times New Roman" w:hAnsi="Times New Roman" w:cs="Times New Roman"/>
          <w:sz w:val="28"/>
          <w:szCs w:val="28"/>
          <w:highlight w:val="yellow"/>
        </w:rPr>
        <w:t>disp</w:t>
      </w:r>
      <w:proofErr w:type="spellEnd"/>
      <w:r w:rsidR="005A24F5" w:rsidRPr="00800814">
        <w:rPr>
          <w:rFonts w:ascii="Times New Roman" w:hAnsi="Times New Roman" w:cs="Times New Roman"/>
          <w:sz w:val="28"/>
          <w:szCs w:val="28"/>
          <w:highlight w:val="yellow"/>
        </w:rPr>
        <w:t xml:space="preserve">. </w:t>
      </w:r>
      <w:proofErr w:type="spellStart"/>
      <w:r w:rsidR="005A24F5" w:rsidRPr="00800814">
        <w:rPr>
          <w:rFonts w:ascii="Times New Roman" w:hAnsi="Times New Roman" w:cs="Times New Roman"/>
          <w:sz w:val="28"/>
          <w:szCs w:val="28"/>
          <w:highlight w:val="yellow"/>
        </w:rPr>
        <w:t>att</w:t>
      </w:r>
      <w:proofErr w:type="spellEnd"/>
      <w:r w:rsidR="005A24F5" w:rsidRPr="00800814">
        <w:rPr>
          <w:rFonts w:ascii="Times New Roman" w:hAnsi="Times New Roman" w:cs="Times New Roman"/>
          <w:sz w:val="28"/>
          <w:szCs w:val="28"/>
          <w:highlight w:val="yellow"/>
        </w:rPr>
        <w:t xml:space="preserve">. </w:t>
      </w:r>
      <w:r w:rsidR="002207C5" w:rsidRPr="00800814">
        <w:rPr>
          <w:rFonts w:ascii="Times New Roman" w:hAnsi="Times New Roman" w:cs="Times New Roman"/>
          <w:sz w:val="28"/>
          <w:szCs w:val="28"/>
          <w:highlight w:val="yellow"/>
        </w:rPr>
        <w:t>Coloro che per primi depositano una istanza o un atto al tribunale davanti al quale non è ancora formalmente instaurato il processo, devono predisporre la nota di iscrizione a ruolo in funzione del suo inserimento nel sistema informatico di cancelleria. Tuttavia, è sempre il creditore pignorante a dover integrare il fascicolo d’ufficio con la allegazione della copia conforme del pignoramento, del titolo esecutivo e del precetto</w:t>
      </w:r>
      <w:r w:rsidR="00800814" w:rsidRPr="00800814">
        <w:rPr>
          <w:rFonts w:ascii="Times New Roman" w:hAnsi="Times New Roman" w:cs="Times New Roman"/>
          <w:sz w:val="28"/>
          <w:szCs w:val="28"/>
          <w:highlight w:val="yellow"/>
        </w:rPr>
        <w:t>, in forma esclusivamente telematica e nel rispetto de</w:t>
      </w:r>
      <w:r w:rsidR="00800814">
        <w:rPr>
          <w:rFonts w:ascii="Times New Roman" w:hAnsi="Times New Roman" w:cs="Times New Roman"/>
          <w:sz w:val="28"/>
          <w:szCs w:val="28"/>
          <w:highlight w:val="yellow"/>
        </w:rPr>
        <w:t>i termini previsti</w:t>
      </w:r>
      <w:bookmarkStart w:id="0" w:name="_GoBack"/>
      <w:bookmarkEnd w:id="0"/>
      <w:r w:rsidR="00800814" w:rsidRPr="00800814">
        <w:rPr>
          <w:rFonts w:ascii="Times New Roman" w:hAnsi="Times New Roman" w:cs="Times New Roman"/>
          <w:sz w:val="28"/>
          <w:szCs w:val="28"/>
          <w:highlight w:val="yellow"/>
        </w:rPr>
        <w:t xml:space="preserve">. Ciò premesso, dunque, l’inefficacia di cui al comma 2° dell’art. 557, quando l’iscrizione a ruolo sia stata eseguita da soggetti diversi ai sensi del suddetto art. 159 ter </w:t>
      </w:r>
      <w:proofErr w:type="spellStart"/>
      <w:r w:rsidR="00800814" w:rsidRPr="00800814">
        <w:rPr>
          <w:rFonts w:ascii="Times New Roman" w:hAnsi="Times New Roman" w:cs="Times New Roman"/>
          <w:sz w:val="28"/>
          <w:szCs w:val="28"/>
          <w:highlight w:val="yellow"/>
        </w:rPr>
        <w:t>disp</w:t>
      </w:r>
      <w:proofErr w:type="spellEnd"/>
      <w:r w:rsidR="00800814" w:rsidRPr="00800814">
        <w:rPr>
          <w:rFonts w:ascii="Times New Roman" w:hAnsi="Times New Roman" w:cs="Times New Roman"/>
          <w:sz w:val="28"/>
          <w:szCs w:val="28"/>
          <w:highlight w:val="yellow"/>
        </w:rPr>
        <w:t xml:space="preserve">. </w:t>
      </w:r>
      <w:proofErr w:type="spellStart"/>
      <w:r w:rsidR="00800814" w:rsidRPr="00800814">
        <w:rPr>
          <w:rFonts w:ascii="Times New Roman" w:hAnsi="Times New Roman" w:cs="Times New Roman"/>
          <w:sz w:val="28"/>
          <w:szCs w:val="28"/>
          <w:highlight w:val="yellow"/>
        </w:rPr>
        <w:t>att</w:t>
      </w:r>
      <w:proofErr w:type="spellEnd"/>
      <w:r w:rsidR="00800814" w:rsidRPr="00800814">
        <w:rPr>
          <w:rFonts w:ascii="Times New Roman" w:hAnsi="Times New Roman" w:cs="Times New Roman"/>
          <w:sz w:val="28"/>
          <w:szCs w:val="28"/>
          <w:highlight w:val="yellow"/>
        </w:rPr>
        <w:t>., si avrà a seguito dell’omesso deposito da parte del creditore, nel termine di 15 giorni, degli atti che configurano il contenuto minimo del fascicolo di ufficio.</w:t>
      </w:r>
      <w:r w:rsidR="00800814">
        <w:rPr>
          <w:rFonts w:ascii="Times New Roman" w:hAnsi="Times New Roman" w:cs="Times New Roman"/>
          <w:sz w:val="28"/>
          <w:szCs w:val="28"/>
        </w:rPr>
        <w:t xml:space="preserve">  </w:t>
      </w:r>
      <w:r w:rsidR="00101DD1">
        <w:rPr>
          <w:rFonts w:ascii="Times New Roman" w:hAnsi="Times New Roman" w:cs="Times New Roman"/>
          <w:sz w:val="28"/>
          <w:szCs w:val="28"/>
        </w:rPr>
        <w:t xml:space="preserve"> </w:t>
      </w:r>
    </w:p>
    <w:p w:rsidR="00A02D89" w:rsidRPr="007379F2" w:rsidRDefault="00A02D89" w:rsidP="00A02D89">
      <w:pPr>
        <w:jc w:val="both"/>
        <w:rPr>
          <w:rFonts w:ascii="Times New Roman" w:hAnsi="Times New Roman" w:cs="Times New Roman"/>
          <w:sz w:val="28"/>
          <w:szCs w:val="28"/>
        </w:rPr>
      </w:pPr>
    </w:p>
    <w:sectPr w:rsidR="00A02D89" w:rsidRPr="007379F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2A39"/>
    <w:rsid w:val="0000616A"/>
    <w:rsid w:val="0005167B"/>
    <w:rsid w:val="00084418"/>
    <w:rsid w:val="000B49D0"/>
    <w:rsid w:val="000D3EDA"/>
    <w:rsid w:val="00101DD1"/>
    <w:rsid w:val="001518F4"/>
    <w:rsid w:val="00185709"/>
    <w:rsid w:val="00192C97"/>
    <w:rsid w:val="00194379"/>
    <w:rsid w:val="001E0B6D"/>
    <w:rsid w:val="001F181E"/>
    <w:rsid w:val="002207C5"/>
    <w:rsid w:val="00227A00"/>
    <w:rsid w:val="002523B3"/>
    <w:rsid w:val="00286AA0"/>
    <w:rsid w:val="00327CB2"/>
    <w:rsid w:val="00382EC9"/>
    <w:rsid w:val="00394B70"/>
    <w:rsid w:val="00413CAC"/>
    <w:rsid w:val="004156EF"/>
    <w:rsid w:val="00453220"/>
    <w:rsid w:val="004D51DC"/>
    <w:rsid w:val="004E28CB"/>
    <w:rsid w:val="004F6996"/>
    <w:rsid w:val="005A24F5"/>
    <w:rsid w:val="005B1476"/>
    <w:rsid w:val="006439F1"/>
    <w:rsid w:val="00682633"/>
    <w:rsid w:val="0069194D"/>
    <w:rsid w:val="006A194A"/>
    <w:rsid w:val="007379F2"/>
    <w:rsid w:val="007622D3"/>
    <w:rsid w:val="00800814"/>
    <w:rsid w:val="00924CA6"/>
    <w:rsid w:val="0097394E"/>
    <w:rsid w:val="009A0007"/>
    <w:rsid w:val="009D1AC9"/>
    <w:rsid w:val="00A01142"/>
    <w:rsid w:val="00A01A4A"/>
    <w:rsid w:val="00A02D89"/>
    <w:rsid w:val="00A42A39"/>
    <w:rsid w:val="00A67AF0"/>
    <w:rsid w:val="00AC568D"/>
    <w:rsid w:val="00AD3256"/>
    <w:rsid w:val="00AD4E17"/>
    <w:rsid w:val="00AE6FFA"/>
    <w:rsid w:val="00B22A88"/>
    <w:rsid w:val="00B349AC"/>
    <w:rsid w:val="00B57004"/>
    <w:rsid w:val="00B62062"/>
    <w:rsid w:val="00BE22D0"/>
    <w:rsid w:val="00CC0533"/>
    <w:rsid w:val="00D23869"/>
    <w:rsid w:val="00D339D1"/>
    <w:rsid w:val="00D41E45"/>
    <w:rsid w:val="00E079B9"/>
    <w:rsid w:val="00E17284"/>
    <w:rsid w:val="00EA18D7"/>
    <w:rsid w:val="00EA1D65"/>
    <w:rsid w:val="00EA6944"/>
    <w:rsid w:val="00EC1501"/>
    <w:rsid w:val="00F775C1"/>
    <w:rsid w:val="00F85283"/>
    <w:rsid w:val="00FF0C6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E23C1F"/>
  <w15:docId w15:val="{66B1C241-B3C3-4CF3-94E0-1DFB8C3BFD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394B7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317</TotalTime>
  <Pages>2</Pages>
  <Words>677</Words>
  <Characters>3861</Characters>
  <Application>Microsoft Office Word</Application>
  <DocSecurity>0</DocSecurity>
  <Lines>32</Lines>
  <Paragraphs>9</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4529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Utente</cp:lastModifiedBy>
  <cp:revision>14</cp:revision>
  <dcterms:created xsi:type="dcterms:W3CDTF">2020-06-23T18:11:00Z</dcterms:created>
  <dcterms:modified xsi:type="dcterms:W3CDTF">2023-03-28T17:50:00Z</dcterms:modified>
</cp:coreProperties>
</file>