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77501" w:rsidRPr="001E646B" w:rsidRDefault="00257735" w:rsidP="00996EF8">
      <w:pPr>
        <w:jc w:val="both"/>
        <w:rPr>
          <w:rFonts w:ascii="Times New Roman" w:hAnsi="Times New Roman" w:cs="Times New Roman"/>
          <w:sz w:val="28"/>
          <w:szCs w:val="28"/>
        </w:rPr>
      </w:pPr>
      <w:r w:rsidRPr="001E646B">
        <w:rPr>
          <w:rFonts w:ascii="Times New Roman" w:hAnsi="Times New Roman" w:cs="Times New Roman"/>
          <w:b/>
          <w:sz w:val="28"/>
          <w:szCs w:val="28"/>
        </w:rPr>
        <w:t>Art. 561</w:t>
      </w:r>
    </w:p>
    <w:p w:rsidR="00996EF8" w:rsidRDefault="001E646B" w:rsidP="00996EF8">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Il contenuto della disposizione va coordinato con la previsione generale secondo la quale </w:t>
      </w:r>
      <w:r w:rsidRPr="001E646B">
        <w:rPr>
          <w:rFonts w:ascii="Times New Roman" w:hAnsi="Times New Roman" w:cs="Times New Roman"/>
          <w:sz w:val="28"/>
          <w:szCs w:val="28"/>
        </w:rPr>
        <w:t>un bene già colpito dal pignoramento può essere pignorato successivamente su istanza di uno o più creditori</w:t>
      </w:r>
      <w:r>
        <w:rPr>
          <w:rFonts w:ascii="Times New Roman" w:hAnsi="Times New Roman" w:cs="Times New Roman"/>
          <w:sz w:val="28"/>
          <w:szCs w:val="28"/>
        </w:rPr>
        <w:t xml:space="preserve"> </w:t>
      </w:r>
      <w:r w:rsidR="00996EF8" w:rsidRPr="00A87EFC">
        <w:rPr>
          <w:rFonts w:ascii="Times New Roman" w:hAnsi="Times New Roman" w:cs="Times New Roman"/>
          <w:sz w:val="28"/>
          <w:szCs w:val="28"/>
        </w:rPr>
        <w:t>→</w:t>
      </w:r>
      <w:r w:rsidR="00257735">
        <w:rPr>
          <w:rFonts w:ascii="Times New Roman" w:hAnsi="Times New Roman" w:cs="Times New Roman"/>
          <w:sz w:val="28"/>
          <w:szCs w:val="28"/>
        </w:rPr>
        <w:t xml:space="preserve"> </w:t>
      </w:r>
      <w:r w:rsidR="00E917B8">
        <w:rPr>
          <w:rFonts w:ascii="Times New Roman" w:hAnsi="Times New Roman" w:cs="Times New Roman"/>
          <w:sz w:val="28"/>
          <w:szCs w:val="28"/>
        </w:rPr>
        <w:t>art. 493</w:t>
      </w:r>
      <w:r>
        <w:rPr>
          <w:rFonts w:ascii="Times New Roman" w:hAnsi="Times New Roman" w:cs="Times New Roman"/>
          <w:sz w:val="28"/>
          <w:szCs w:val="28"/>
        </w:rPr>
        <w:t xml:space="preserve"> co. 2; 524.</w:t>
      </w:r>
    </w:p>
    <w:p w:rsidR="001E646B" w:rsidRDefault="005245E3" w:rsidP="00996EF8">
      <w:pPr>
        <w:spacing w:after="0" w:line="240" w:lineRule="auto"/>
        <w:jc w:val="both"/>
        <w:rPr>
          <w:rFonts w:ascii="Times New Roman" w:hAnsi="Times New Roman" w:cs="Times New Roman"/>
          <w:sz w:val="28"/>
          <w:szCs w:val="28"/>
        </w:rPr>
      </w:pPr>
      <w:r>
        <w:rPr>
          <w:rFonts w:ascii="Times New Roman" w:hAnsi="Times New Roman" w:cs="Times New Roman"/>
          <w:sz w:val="28"/>
          <w:szCs w:val="28"/>
        </w:rPr>
        <w:t>Rispetto alla disciplina dell</w:t>
      </w:r>
      <w:r w:rsidR="008C7CED">
        <w:rPr>
          <w:rFonts w:ascii="Times New Roman" w:hAnsi="Times New Roman" w:cs="Times New Roman"/>
          <w:sz w:val="28"/>
          <w:szCs w:val="28"/>
        </w:rPr>
        <w:t>’</w:t>
      </w:r>
      <w:r>
        <w:rPr>
          <w:rFonts w:ascii="Times New Roman" w:hAnsi="Times New Roman" w:cs="Times New Roman"/>
          <w:sz w:val="28"/>
          <w:szCs w:val="28"/>
        </w:rPr>
        <w:t xml:space="preserve">espropriazione mobiliare, quella immobiliare è incentrata sul ruolo del </w:t>
      </w:r>
      <w:r w:rsidRPr="00E917B8">
        <w:rPr>
          <w:rFonts w:ascii="Times New Roman" w:hAnsi="Times New Roman" w:cs="Times New Roman"/>
          <w:b/>
          <w:sz w:val="28"/>
          <w:szCs w:val="28"/>
        </w:rPr>
        <w:t>conservatore dei registri immobiliari</w:t>
      </w:r>
      <w:r>
        <w:rPr>
          <w:rFonts w:ascii="Times New Roman" w:hAnsi="Times New Roman" w:cs="Times New Roman"/>
          <w:sz w:val="28"/>
          <w:szCs w:val="28"/>
        </w:rPr>
        <w:t>.</w:t>
      </w:r>
      <w:r w:rsidR="00F15A91">
        <w:rPr>
          <w:rFonts w:ascii="Times New Roman" w:hAnsi="Times New Roman" w:cs="Times New Roman"/>
          <w:sz w:val="28"/>
          <w:szCs w:val="28"/>
        </w:rPr>
        <w:t xml:space="preserve"> </w:t>
      </w:r>
      <w:r w:rsidR="00F15A91" w:rsidRPr="00F15A91">
        <w:rPr>
          <w:rFonts w:ascii="Times New Roman" w:hAnsi="Times New Roman" w:cs="Times New Roman"/>
          <w:sz w:val="28"/>
          <w:szCs w:val="28"/>
          <w:highlight w:val="yellow"/>
        </w:rPr>
        <w:t>Infatti, sarà il conservatore che</w:t>
      </w:r>
      <w:r w:rsidR="000D77AB">
        <w:rPr>
          <w:rFonts w:ascii="Times New Roman" w:hAnsi="Times New Roman" w:cs="Times New Roman"/>
          <w:sz w:val="28"/>
          <w:szCs w:val="28"/>
          <w:highlight w:val="yellow"/>
        </w:rPr>
        <w:t>,</w:t>
      </w:r>
      <w:r w:rsidR="00F15A91" w:rsidRPr="00F15A91">
        <w:rPr>
          <w:rFonts w:ascii="Times New Roman" w:hAnsi="Times New Roman" w:cs="Times New Roman"/>
          <w:sz w:val="28"/>
          <w:szCs w:val="28"/>
          <w:highlight w:val="yellow"/>
        </w:rPr>
        <w:t xml:space="preserve"> se nel trascrivere un atto di pignoramento trova che sugli stessi beni è stato eseguito un altro pignoramento, ne fa menzione nella nota che restituisce</w:t>
      </w:r>
      <w:r w:rsidR="00F15A91" w:rsidRPr="000D77AB">
        <w:rPr>
          <w:rFonts w:ascii="Times New Roman" w:hAnsi="Times New Roman" w:cs="Times New Roman"/>
          <w:sz w:val="28"/>
          <w:szCs w:val="28"/>
          <w:highlight w:val="yellow"/>
        </w:rPr>
        <w:t>.</w:t>
      </w:r>
      <w:r w:rsidR="000D77AB" w:rsidRPr="000D77AB">
        <w:rPr>
          <w:rFonts w:ascii="Times New Roman" w:hAnsi="Times New Roman" w:cs="Times New Roman"/>
          <w:sz w:val="28"/>
          <w:szCs w:val="28"/>
          <w:highlight w:val="yellow"/>
        </w:rPr>
        <w:t xml:space="preserve"> L’ambito applicativo della norma in commento presuppone</w:t>
      </w:r>
      <w:r w:rsidR="000D77AB">
        <w:rPr>
          <w:rFonts w:ascii="Times New Roman" w:hAnsi="Times New Roman" w:cs="Times New Roman"/>
          <w:sz w:val="28"/>
          <w:szCs w:val="28"/>
          <w:highlight w:val="yellow"/>
        </w:rPr>
        <w:t>, perciò,</w:t>
      </w:r>
      <w:r w:rsidR="000D77AB" w:rsidRPr="000D77AB">
        <w:rPr>
          <w:rFonts w:ascii="Times New Roman" w:hAnsi="Times New Roman" w:cs="Times New Roman"/>
          <w:sz w:val="28"/>
          <w:szCs w:val="28"/>
          <w:highlight w:val="yellow"/>
        </w:rPr>
        <w:t xml:space="preserve"> che il pignoramento sia compiuto, altrimenti si ricade nella diversa ipotesi</w:t>
      </w:r>
      <w:r w:rsidR="00712561">
        <w:rPr>
          <w:rFonts w:ascii="Times New Roman" w:hAnsi="Times New Roman" w:cs="Times New Roman"/>
          <w:sz w:val="28"/>
          <w:szCs w:val="28"/>
          <w:highlight w:val="yellow"/>
        </w:rPr>
        <w:t>,</w:t>
      </w:r>
      <w:r w:rsidR="000D77AB" w:rsidRPr="000D77AB">
        <w:rPr>
          <w:rFonts w:ascii="Times New Roman" w:hAnsi="Times New Roman" w:cs="Times New Roman"/>
          <w:sz w:val="28"/>
          <w:szCs w:val="28"/>
          <w:highlight w:val="yellow"/>
        </w:rPr>
        <w:t xml:space="preserve"> disciplinata nell’art. 523</w:t>
      </w:r>
      <w:r w:rsidR="00712561">
        <w:rPr>
          <w:rFonts w:ascii="Times New Roman" w:hAnsi="Times New Roman" w:cs="Times New Roman"/>
          <w:sz w:val="28"/>
          <w:szCs w:val="28"/>
          <w:highlight w:val="yellow"/>
        </w:rPr>
        <w:t>,</w:t>
      </w:r>
      <w:r w:rsidR="000D77AB" w:rsidRPr="000D77AB">
        <w:rPr>
          <w:rFonts w:ascii="Times New Roman" w:hAnsi="Times New Roman" w:cs="Times New Roman"/>
          <w:sz w:val="28"/>
          <w:szCs w:val="28"/>
          <w:highlight w:val="yellow"/>
        </w:rPr>
        <w:t xml:space="preserve"> di </w:t>
      </w:r>
      <w:r w:rsidR="000D77AB" w:rsidRPr="000D77AB">
        <w:rPr>
          <w:rFonts w:ascii="Times New Roman" w:hAnsi="Times New Roman" w:cs="Times New Roman"/>
          <w:b/>
          <w:sz w:val="28"/>
          <w:szCs w:val="28"/>
          <w:highlight w:val="yellow"/>
        </w:rPr>
        <w:t>unione dei pignoramenti.</w:t>
      </w:r>
    </w:p>
    <w:p w:rsidR="00A931AF" w:rsidRDefault="000D77AB" w:rsidP="00996EF8">
      <w:pPr>
        <w:spacing w:after="0" w:line="240" w:lineRule="auto"/>
        <w:jc w:val="both"/>
        <w:rPr>
          <w:rFonts w:ascii="Times New Roman" w:hAnsi="Times New Roman" w:cs="Times New Roman"/>
          <w:sz w:val="28"/>
          <w:szCs w:val="28"/>
        </w:rPr>
      </w:pPr>
      <w:r w:rsidRPr="000D77AB">
        <w:rPr>
          <w:rFonts w:ascii="Times New Roman" w:hAnsi="Times New Roman" w:cs="Times New Roman"/>
          <w:sz w:val="28"/>
          <w:szCs w:val="28"/>
          <w:highlight w:val="yellow"/>
        </w:rPr>
        <w:t>Da ciò si comprende come la disposizione imponga</w:t>
      </w:r>
      <w:r w:rsidR="005245E3">
        <w:rPr>
          <w:rFonts w:ascii="Times New Roman" w:hAnsi="Times New Roman" w:cs="Times New Roman"/>
          <w:sz w:val="28"/>
          <w:szCs w:val="28"/>
        </w:rPr>
        <w:t xml:space="preserve"> la risoluzione della questione relativa </w:t>
      </w:r>
      <w:r w:rsidR="005245E3" w:rsidRPr="00E917B8">
        <w:rPr>
          <w:rFonts w:ascii="Times New Roman" w:hAnsi="Times New Roman" w:cs="Times New Roman"/>
          <w:b/>
          <w:sz w:val="28"/>
          <w:szCs w:val="28"/>
        </w:rPr>
        <w:t>al momento</w:t>
      </w:r>
      <w:r w:rsidR="005245E3">
        <w:rPr>
          <w:rFonts w:ascii="Times New Roman" w:hAnsi="Times New Roman" w:cs="Times New Roman"/>
          <w:sz w:val="28"/>
          <w:szCs w:val="28"/>
        </w:rPr>
        <w:t xml:space="preserve"> in cui il </w:t>
      </w:r>
      <w:r w:rsidR="005245E3" w:rsidRPr="00E917B8">
        <w:rPr>
          <w:rFonts w:ascii="Times New Roman" w:hAnsi="Times New Roman" w:cs="Times New Roman"/>
          <w:b/>
          <w:sz w:val="28"/>
          <w:szCs w:val="28"/>
        </w:rPr>
        <w:t>pignoramento immobiliare può dirsi perfezionato</w:t>
      </w:r>
      <w:r>
        <w:rPr>
          <w:rFonts w:ascii="Times New Roman" w:hAnsi="Times New Roman" w:cs="Times New Roman"/>
          <w:sz w:val="28"/>
          <w:szCs w:val="28"/>
        </w:rPr>
        <w:t xml:space="preserve">, </w:t>
      </w:r>
      <w:r w:rsidR="00712561">
        <w:rPr>
          <w:rFonts w:ascii="Times New Roman" w:hAnsi="Times New Roman" w:cs="Times New Roman"/>
          <w:sz w:val="28"/>
          <w:szCs w:val="28"/>
          <w:highlight w:val="yellow"/>
        </w:rPr>
        <w:t>se dalla notificazione o dalla trascrizione.</w:t>
      </w:r>
    </w:p>
    <w:p w:rsidR="00A0103A" w:rsidRDefault="00A931AF" w:rsidP="00996EF8">
      <w:pPr>
        <w:spacing w:after="0" w:line="240" w:lineRule="auto"/>
        <w:jc w:val="both"/>
        <w:rPr>
          <w:rFonts w:ascii="Times New Roman" w:hAnsi="Times New Roman" w:cs="Times New Roman"/>
          <w:sz w:val="28"/>
          <w:szCs w:val="28"/>
        </w:rPr>
      </w:pPr>
      <w:r w:rsidRPr="001D365C">
        <w:rPr>
          <w:rFonts w:ascii="Times New Roman" w:hAnsi="Times New Roman" w:cs="Times New Roman"/>
          <w:sz w:val="28"/>
          <w:szCs w:val="28"/>
          <w:highlight w:val="yellow"/>
        </w:rPr>
        <w:t>Orbene, nel caso in cui un immobile già pignorato sia successivamente assoggettato ad un nuovo pignoramento, il responsabile della conservazione dei registri immobiliari</w:t>
      </w:r>
      <w:r w:rsidR="001D365C" w:rsidRPr="001D365C">
        <w:rPr>
          <w:rFonts w:ascii="Times New Roman" w:hAnsi="Times New Roman" w:cs="Times New Roman"/>
          <w:sz w:val="28"/>
          <w:szCs w:val="28"/>
          <w:highlight w:val="yellow"/>
        </w:rPr>
        <w:t xml:space="preserve"> fa menzione della circostanza nella nota di trascrizione del secondo pignoramento; </w:t>
      </w:r>
      <w:proofErr w:type="spellStart"/>
      <w:r w:rsidR="001D365C" w:rsidRPr="001D365C">
        <w:rPr>
          <w:rFonts w:ascii="Times New Roman" w:hAnsi="Times New Roman" w:cs="Times New Roman"/>
          <w:sz w:val="28"/>
          <w:szCs w:val="28"/>
          <w:highlight w:val="yellow"/>
        </w:rPr>
        <w:t>sicchè</w:t>
      </w:r>
      <w:proofErr w:type="spellEnd"/>
      <w:r w:rsidR="001D365C" w:rsidRPr="001D365C">
        <w:rPr>
          <w:rFonts w:ascii="Times New Roman" w:hAnsi="Times New Roman" w:cs="Times New Roman"/>
          <w:sz w:val="28"/>
          <w:szCs w:val="28"/>
          <w:highlight w:val="yellow"/>
        </w:rPr>
        <w:t xml:space="preserve"> quando quest’ultimo è depositato in cancelleria viene inserito nel fascicolo formato in base al primo pignoramento. In tal modo si rispetta il principio fondamentale per cui non possono aver luogo processi esecutivi diversi per lo stesso bene pignorato nei confronti dello stesso debitore (cd. litispendenza esecutiva</w:t>
      </w:r>
      <w:r w:rsidR="001D365C" w:rsidRPr="00143EF1">
        <w:rPr>
          <w:rFonts w:ascii="Times New Roman" w:hAnsi="Times New Roman" w:cs="Times New Roman"/>
          <w:sz w:val="28"/>
          <w:szCs w:val="28"/>
          <w:highlight w:val="yellow"/>
        </w:rPr>
        <w:t>).</w:t>
      </w:r>
      <w:r w:rsidR="00315996" w:rsidRPr="00143EF1">
        <w:rPr>
          <w:rFonts w:ascii="Times New Roman" w:hAnsi="Times New Roman" w:cs="Times New Roman"/>
          <w:sz w:val="28"/>
          <w:szCs w:val="28"/>
          <w:highlight w:val="yellow"/>
        </w:rPr>
        <w:t xml:space="preserve"> </w:t>
      </w:r>
      <w:r w:rsidR="001D365C" w:rsidRPr="00143EF1">
        <w:rPr>
          <w:rFonts w:ascii="Times New Roman" w:hAnsi="Times New Roman" w:cs="Times New Roman"/>
          <w:sz w:val="28"/>
          <w:szCs w:val="28"/>
          <w:highlight w:val="yellow"/>
        </w:rPr>
        <w:t xml:space="preserve">Tale principio appare una conseguenza abbastanza ovvia della considerazione per cui se il bene non può essere venduto più volte, non si possono avere più processi esecutivi perché </w:t>
      </w:r>
      <w:r w:rsidR="00315996" w:rsidRPr="00143EF1">
        <w:rPr>
          <w:rFonts w:ascii="Times New Roman" w:hAnsi="Times New Roman" w:cs="Times New Roman"/>
          <w:sz w:val="28"/>
          <w:szCs w:val="28"/>
          <w:highlight w:val="yellow"/>
        </w:rPr>
        <w:t xml:space="preserve">non sono possibili più vendite dello stesso bene. Si possono avere più processi esecutivi contro lo stesso soggetto per lo stesso credito su beni diversi e più creditori intorno allo stesso bene all’interno di un unico processo esecutivo. </w:t>
      </w:r>
      <w:r w:rsidR="00315996" w:rsidRPr="00143EF1">
        <w:rPr>
          <w:rFonts w:ascii="Times New Roman" w:hAnsi="Times New Roman" w:cs="Times New Roman"/>
          <w:b/>
          <w:sz w:val="28"/>
          <w:szCs w:val="28"/>
          <w:highlight w:val="yellow"/>
        </w:rPr>
        <w:t>Non ci</w:t>
      </w:r>
      <w:r w:rsidR="00143EF1" w:rsidRPr="00143EF1">
        <w:rPr>
          <w:rFonts w:ascii="Times New Roman" w:hAnsi="Times New Roman" w:cs="Times New Roman"/>
          <w:b/>
          <w:sz w:val="28"/>
          <w:szCs w:val="28"/>
          <w:highlight w:val="yellow"/>
        </w:rPr>
        <w:t xml:space="preserve"> possono essere</w:t>
      </w:r>
      <w:r w:rsidR="00315996" w:rsidRPr="00143EF1">
        <w:rPr>
          <w:rFonts w:ascii="Times New Roman" w:hAnsi="Times New Roman" w:cs="Times New Roman"/>
          <w:b/>
          <w:sz w:val="28"/>
          <w:szCs w:val="28"/>
          <w:highlight w:val="yellow"/>
        </w:rPr>
        <w:t>, invece, più processi esecutivi per lo stesso bene</w:t>
      </w:r>
      <w:r w:rsidR="00143EF1" w:rsidRPr="00143EF1">
        <w:rPr>
          <w:rFonts w:ascii="Times New Roman" w:hAnsi="Times New Roman" w:cs="Times New Roman"/>
          <w:b/>
          <w:sz w:val="28"/>
          <w:szCs w:val="28"/>
          <w:highlight w:val="yellow"/>
        </w:rPr>
        <w:t xml:space="preserve"> nei confronti dello stesso esecutato</w:t>
      </w:r>
      <w:r w:rsidR="00143EF1" w:rsidRPr="00143EF1">
        <w:rPr>
          <w:rFonts w:ascii="Times New Roman" w:hAnsi="Times New Roman" w:cs="Times New Roman"/>
          <w:sz w:val="28"/>
          <w:szCs w:val="28"/>
          <w:highlight w:val="yellow"/>
        </w:rPr>
        <w:t>, perché non si possono avere più trasferimenti dello stesso bene.</w:t>
      </w:r>
    </w:p>
    <w:p w:rsidR="009632D4" w:rsidRDefault="00A0103A" w:rsidP="00996EF8">
      <w:pPr>
        <w:spacing w:after="0" w:line="240" w:lineRule="auto"/>
        <w:jc w:val="both"/>
        <w:rPr>
          <w:rFonts w:ascii="Times New Roman" w:hAnsi="Times New Roman" w:cs="Times New Roman"/>
          <w:sz w:val="28"/>
          <w:szCs w:val="28"/>
        </w:rPr>
      </w:pPr>
      <w:r w:rsidRPr="009632D4">
        <w:rPr>
          <w:rFonts w:ascii="Times New Roman" w:hAnsi="Times New Roman" w:cs="Times New Roman"/>
          <w:sz w:val="28"/>
          <w:szCs w:val="28"/>
          <w:highlight w:val="yellow"/>
        </w:rPr>
        <w:t>La norma distingue l’ipotesi in cui il pignoramento successivo sia compiuto prima dell’udienza fissata per l’autorizzazione della vendita</w:t>
      </w:r>
      <w:r w:rsidR="00143EF1" w:rsidRPr="009632D4">
        <w:rPr>
          <w:rFonts w:ascii="Times New Roman" w:hAnsi="Times New Roman" w:cs="Times New Roman"/>
          <w:sz w:val="28"/>
          <w:szCs w:val="28"/>
          <w:highlight w:val="yellow"/>
        </w:rPr>
        <w:t xml:space="preserve"> </w:t>
      </w:r>
      <w:r w:rsidRPr="009632D4">
        <w:rPr>
          <w:rFonts w:ascii="Times New Roman" w:hAnsi="Times New Roman" w:cs="Times New Roman"/>
          <w:sz w:val="28"/>
          <w:szCs w:val="28"/>
          <w:highlight w:val="yellow"/>
        </w:rPr>
        <w:t xml:space="preserve">(art. 564 </w:t>
      </w:r>
      <w:proofErr w:type="spellStart"/>
      <w:r w:rsidRPr="009632D4">
        <w:rPr>
          <w:rFonts w:ascii="Times New Roman" w:hAnsi="Times New Roman" w:cs="Times New Roman"/>
          <w:sz w:val="28"/>
          <w:szCs w:val="28"/>
          <w:highlight w:val="yellow"/>
        </w:rPr>
        <w:t>c.p.c.</w:t>
      </w:r>
      <w:proofErr w:type="spellEnd"/>
      <w:r w:rsidRPr="009632D4">
        <w:rPr>
          <w:rFonts w:ascii="Times New Roman" w:hAnsi="Times New Roman" w:cs="Times New Roman"/>
          <w:sz w:val="28"/>
          <w:szCs w:val="28"/>
          <w:highlight w:val="yellow"/>
        </w:rPr>
        <w:t xml:space="preserve">), cd. </w:t>
      </w:r>
      <w:r w:rsidRPr="009632D4">
        <w:rPr>
          <w:rFonts w:ascii="Times New Roman" w:hAnsi="Times New Roman" w:cs="Times New Roman"/>
          <w:b/>
          <w:sz w:val="28"/>
          <w:szCs w:val="28"/>
          <w:highlight w:val="yellow"/>
        </w:rPr>
        <w:t>pignoramento successivo tempestivo</w:t>
      </w:r>
      <w:r w:rsidRPr="009632D4">
        <w:rPr>
          <w:rFonts w:ascii="Times New Roman" w:hAnsi="Times New Roman" w:cs="Times New Roman"/>
          <w:sz w:val="28"/>
          <w:szCs w:val="28"/>
          <w:highlight w:val="yellow"/>
        </w:rPr>
        <w:t xml:space="preserve">, da quella in cui il pignoramento ulteriore sia compiuto dopo tale udienza, in tal caso si parla di </w:t>
      </w:r>
      <w:r w:rsidRPr="009632D4">
        <w:rPr>
          <w:rFonts w:ascii="Times New Roman" w:hAnsi="Times New Roman" w:cs="Times New Roman"/>
          <w:b/>
          <w:sz w:val="28"/>
          <w:szCs w:val="28"/>
          <w:highlight w:val="yellow"/>
        </w:rPr>
        <w:t>pignoramento successivo tardivo</w:t>
      </w:r>
      <w:r w:rsidRPr="009632D4">
        <w:rPr>
          <w:rFonts w:ascii="Times New Roman" w:hAnsi="Times New Roman" w:cs="Times New Roman"/>
          <w:sz w:val="28"/>
          <w:szCs w:val="28"/>
          <w:highlight w:val="yellow"/>
        </w:rPr>
        <w:t>.</w:t>
      </w:r>
    </w:p>
    <w:p w:rsidR="0017098A" w:rsidRDefault="009632D4" w:rsidP="00996EF8">
      <w:pPr>
        <w:spacing w:after="0" w:line="240" w:lineRule="auto"/>
        <w:jc w:val="both"/>
        <w:rPr>
          <w:rFonts w:ascii="Times New Roman" w:hAnsi="Times New Roman" w:cs="Times New Roman"/>
          <w:sz w:val="28"/>
          <w:szCs w:val="28"/>
        </w:rPr>
      </w:pPr>
      <w:r w:rsidRPr="009632D4">
        <w:rPr>
          <w:rFonts w:ascii="Times New Roman" w:hAnsi="Times New Roman" w:cs="Times New Roman"/>
          <w:sz w:val="28"/>
          <w:szCs w:val="28"/>
          <w:highlight w:val="yellow"/>
        </w:rPr>
        <w:t>In riferimento alla prima ipotesi prevede che l’</w:t>
      </w:r>
      <w:r w:rsidR="00136218">
        <w:rPr>
          <w:rFonts w:ascii="Times New Roman" w:hAnsi="Times New Roman" w:cs="Times New Roman"/>
          <w:sz w:val="28"/>
          <w:szCs w:val="28"/>
          <w:highlight w:val="yellow"/>
        </w:rPr>
        <w:t>esecuzione si svolga</w:t>
      </w:r>
      <w:r w:rsidRPr="009632D4">
        <w:rPr>
          <w:rFonts w:ascii="Times New Roman" w:hAnsi="Times New Roman" w:cs="Times New Roman"/>
          <w:sz w:val="28"/>
          <w:szCs w:val="28"/>
          <w:highlight w:val="yellow"/>
        </w:rPr>
        <w:t xml:space="preserve"> in un unico processo, mentre riguardo alla seconda rinvia all’applicazione dell’ultimo comma dell’art 524, a sensi del quale il pignoramento successivo ha gli stessi effetti di un intervento tardivo riguardo ai beni colpiti dal primo pignoramento, per cui il pignorante successivo avrà diritto di concorrere alla distribuzione di quella parte della somma ricavata che sopravanza dopo che sono stati </w:t>
      </w:r>
      <w:r w:rsidRPr="00882505">
        <w:rPr>
          <w:rFonts w:ascii="Times New Roman" w:hAnsi="Times New Roman" w:cs="Times New Roman"/>
          <w:sz w:val="28"/>
          <w:szCs w:val="28"/>
          <w:highlight w:val="yellow"/>
        </w:rPr>
        <w:t>soddisfatti i diritti del creditore pignorante, degli eventuali creditori tempestivamente intervenuti</w:t>
      </w:r>
      <w:r w:rsidR="00882505" w:rsidRPr="00882505">
        <w:rPr>
          <w:rFonts w:ascii="Times New Roman" w:hAnsi="Times New Roman" w:cs="Times New Roman"/>
          <w:sz w:val="28"/>
          <w:szCs w:val="28"/>
          <w:highlight w:val="yellow"/>
        </w:rPr>
        <w:t xml:space="preserve"> e di quelli privilegiati</w:t>
      </w:r>
      <w:r w:rsidR="00882505">
        <w:rPr>
          <w:rFonts w:ascii="Times New Roman" w:hAnsi="Times New Roman" w:cs="Times New Roman"/>
          <w:sz w:val="28"/>
          <w:szCs w:val="28"/>
        </w:rPr>
        <w:t>.</w:t>
      </w:r>
      <w:r w:rsidR="00315996">
        <w:rPr>
          <w:rFonts w:ascii="Times New Roman" w:hAnsi="Times New Roman" w:cs="Times New Roman"/>
          <w:sz w:val="28"/>
          <w:szCs w:val="28"/>
        </w:rPr>
        <w:t xml:space="preserve"> </w:t>
      </w:r>
      <w:r w:rsidR="00136218">
        <w:rPr>
          <w:rFonts w:ascii="Times New Roman" w:hAnsi="Times New Roman" w:cs="Times New Roman"/>
          <w:sz w:val="28"/>
          <w:szCs w:val="28"/>
        </w:rPr>
        <w:t xml:space="preserve">Se il pignoramento successivo tempestivamente compiuto pone il creditore nella medesima posizione del primo pignorante, il pignoramento tardivo lo pone invece nella posizione del creditore tardivamente intervenuto munito di titolo esecutivo, sicché anche la sua </w:t>
      </w:r>
      <w:r w:rsidR="00136218">
        <w:rPr>
          <w:rFonts w:ascii="Times New Roman" w:hAnsi="Times New Roman" w:cs="Times New Roman"/>
          <w:sz w:val="28"/>
          <w:szCs w:val="28"/>
        </w:rPr>
        <w:lastRenderedPageBreak/>
        <w:t>rinuncia è necessaria ai fini dell’estinzione anteriormente all’aggiudicazione o alla vendita → art. 629.</w:t>
      </w:r>
      <w:r w:rsidR="00315996">
        <w:rPr>
          <w:rFonts w:ascii="Times New Roman" w:hAnsi="Times New Roman" w:cs="Times New Roman"/>
          <w:sz w:val="28"/>
          <w:szCs w:val="28"/>
        </w:rPr>
        <w:t xml:space="preserve"> </w:t>
      </w:r>
    </w:p>
    <w:p w:rsidR="005245E3" w:rsidRDefault="0017098A" w:rsidP="00996EF8">
      <w:pPr>
        <w:spacing w:after="0" w:line="240" w:lineRule="auto"/>
        <w:jc w:val="both"/>
        <w:rPr>
          <w:rFonts w:ascii="Times New Roman" w:hAnsi="Times New Roman" w:cs="Times New Roman"/>
          <w:sz w:val="28"/>
          <w:szCs w:val="28"/>
        </w:rPr>
      </w:pPr>
      <w:r w:rsidRPr="00807193">
        <w:rPr>
          <w:rFonts w:ascii="Times New Roman" w:hAnsi="Times New Roman" w:cs="Times New Roman"/>
          <w:sz w:val="28"/>
          <w:szCs w:val="28"/>
          <w:highlight w:val="yellow"/>
        </w:rPr>
        <w:t>Per riassumere si può dire che se il secondo pignoramento si limita a colpire solo i beni colpiti dal primo, l’esecuzione procede sempre in modo unitario, variando solo la collocazione a riparto del creditore in relazione alla tempestività o meno del secondo pignoramento. Laddove invece il secondo pignoramento colpisca anche altri beni</w:t>
      </w:r>
      <w:r w:rsidR="00807193" w:rsidRPr="00807193">
        <w:rPr>
          <w:rFonts w:ascii="Times New Roman" w:hAnsi="Times New Roman" w:cs="Times New Roman"/>
          <w:sz w:val="28"/>
          <w:szCs w:val="28"/>
          <w:highlight w:val="yellow"/>
        </w:rPr>
        <w:t>, l’esecuzione resterà unica solo se il secondo pignoramento è tempestivo, perché per gli altri</w:t>
      </w:r>
      <w:r w:rsidR="00A505C6">
        <w:rPr>
          <w:rFonts w:ascii="Times New Roman" w:hAnsi="Times New Roman" w:cs="Times New Roman"/>
          <w:sz w:val="28"/>
          <w:szCs w:val="28"/>
          <w:highlight w:val="yellow"/>
        </w:rPr>
        <w:t xml:space="preserve"> cespiti</w:t>
      </w:r>
      <w:r w:rsidR="00807193" w:rsidRPr="00807193">
        <w:rPr>
          <w:rFonts w:ascii="Times New Roman" w:hAnsi="Times New Roman" w:cs="Times New Roman"/>
          <w:sz w:val="28"/>
          <w:szCs w:val="28"/>
          <w:highlight w:val="yellow"/>
        </w:rPr>
        <w:t>, pignorati successivamente e tardivamente, ha luogo un separato processo.</w:t>
      </w:r>
      <w:r w:rsidR="001D365C">
        <w:rPr>
          <w:rFonts w:ascii="Times New Roman" w:hAnsi="Times New Roman" w:cs="Times New Roman"/>
          <w:sz w:val="28"/>
          <w:szCs w:val="28"/>
        </w:rPr>
        <w:t xml:space="preserve"> </w:t>
      </w:r>
      <w:r w:rsidR="000D77AB">
        <w:rPr>
          <w:rFonts w:ascii="Times New Roman" w:hAnsi="Times New Roman" w:cs="Times New Roman"/>
          <w:sz w:val="28"/>
          <w:szCs w:val="28"/>
        </w:rPr>
        <w:t xml:space="preserve"> </w:t>
      </w:r>
    </w:p>
    <w:p w:rsidR="005245E3" w:rsidRDefault="00136218" w:rsidP="00996EF8">
      <w:pPr>
        <w:spacing w:after="0" w:line="240" w:lineRule="auto"/>
        <w:jc w:val="both"/>
        <w:rPr>
          <w:rFonts w:ascii="Times New Roman" w:hAnsi="Times New Roman" w:cs="Times New Roman"/>
          <w:sz w:val="28"/>
          <w:szCs w:val="28"/>
        </w:rPr>
      </w:pPr>
      <w:r w:rsidRPr="00136218">
        <w:rPr>
          <w:rFonts w:ascii="Times New Roman" w:hAnsi="Times New Roman" w:cs="Times New Roman"/>
          <w:sz w:val="28"/>
          <w:szCs w:val="28"/>
          <w:highlight w:val="yellow"/>
        </w:rPr>
        <w:t>In definitiva</w:t>
      </w:r>
      <w:r>
        <w:rPr>
          <w:rFonts w:ascii="Times New Roman" w:hAnsi="Times New Roman" w:cs="Times New Roman"/>
          <w:sz w:val="28"/>
          <w:szCs w:val="28"/>
        </w:rPr>
        <w:t>, l</w:t>
      </w:r>
      <w:r w:rsidR="002B424B">
        <w:rPr>
          <w:rFonts w:ascii="Times New Roman" w:hAnsi="Times New Roman" w:cs="Times New Roman"/>
          <w:sz w:val="28"/>
          <w:szCs w:val="28"/>
        </w:rPr>
        <w:t xml:space="preserve">a disposizione condivide le </w:t>
      </w:r>
      <w:proofErr w:type="spellStart"/>
      <w:r w:rsidR="002B424B">
        <w:rPr>
          <w:rFonts w:ascii="Times New Roman" w:hAnsi="Times New Roman" w:cs="Times New Roman"/>
          <w:i/>
          <w:sz w:val="28"/>
          <w:szCs w:val="28"/>
        </w:rPr>
        <w:t>rationes</w:t>
      </w:r>
      <w:proofErr w:type="spellEnd"/>
      <w:r w:rsidR="002B424B">
        <w:rPr>
          <w:rFonts w:ascii="Times New Roman" w:hAnsi="Times New Roman" w:cs="Times New Roman"/>
          <w:sz w:val="28"/>
          <w:szCs w:val="28"/>
        </w:rPr>
        <w:t xml:space="preserve"> con </w:t>
      </w:r>
      <w:r w:rsidR="002B424B" w:rsidRPr="00E917B8">
        <w:rPr>
          <w:rFonts w:ascii="Times New Roman" w:hAnsi="Times New Roman" w:cs="Times New Roman"/>
          <w:b/>
          <w:sz w:val="28"/>
          <w:szCs w:val="28"/>
        </w:rPr>
        <w:t>l</w:t>
      </w:r>
      <w:r w:rsidR="008C7CED">
        <w:rPr>
          <w:rFonts w:ascii="Times New Roman" w:hAnsi="Times New Roman" w:cs="Times New Roman"/>
          <w:b/>
          <w:sz w:val="28"/>
          <w:szCs w:val="28"/>
        </w:rPr>
        <w:t>’</w:t>
      </w:r>
      <w:r w:rsidR="002B424B" w:rsidRPr="00E917B8">
        <w:rPr>
          <w:rFonts w:ascii="Times New Roman" w:hAnsi="Times New Roman" w:cs="Times New Roman"/>
          <w:b/>
          <w:sz w:val="28"/>
          <w:szCs w:val="28"/>
        </w:rPr>
        <w:t>intervento dei creditori</w:t>
      </w:r>
      <w:r w:rsidR="002B424B">
        <w:rPr>
          <w:rFonts w:ascii="Times New Roman" w:hAnsi="Times New Roman" w:cs="Times New Roman"/>
          <w:sz w:val="28"/>
          <w:szCs w:val="28"/>
        </w:rPr>
        <w:t xml:space="preserve"> </w:t>
      </w:r>
      <w:r w:rsidR="002B424B" w:rsidRPr="00A87EFC">
        <w:rPr>
          <w:rFonts w:ascii="Times New Roman" w:hAnsi="Times New Roman" w:cs="Times New Roman"/>
          <w:sz w:val="28"/>
          <w:szCs w:val="28"/>
        </w:rPr>
        <w:t>→</w:t>
      </w:r>
      <w:r w:rsidR="002B424B">
        <w:rPr>
          <w:rFonts w:ascii="Times New Roman" w:hAnsi="Times New Roman" w:cs="Times New Roman"/>
          <w:sz w:val="28"/>
          <w:szCs w:val="28"/>
        </w:rPr>
        <w:t xml:space="preserve"> art. 498, 499, nel senso che </w:t>
      </w:r>
      <w:r w:rsidR="002B424B" w:rsidRPr="002B424B">
        <w:rPr>
          <w:rFonts w:ascii="Times New Roman" w:hAnsi="Times New Roman" w:cs="Times New Roman"/>
          <w:sz w:val="28"/>
          <w:szCs w:val="28"/>
        </w:rPr>
        <w:t xml:space="preserve">consente di </w:t>
      </w:r>
      <w:r w:rsidR="002B424B">
        <w:rPr>
          <w:rFonts w:ascii="Times New Roman" w:hAnsi="Times New Roman" w:cs="Times New Roman"/>
          <w:sz w:val="28"/>
          <w:szCs w:val="28"/>
        </w:rPr>
        <w:t>garantire il</w:t>
      </w:r>
      <w:r w:rsidR="002B424B" w:rsidRPr="002B424B">
        <w:rPr>
          <w:rFonts w:ascii="Times New Roman" w:hAnsi="Times New Roman" w:cs="Times New Roman"/>
          <w:sz w:val="28"/>
          <w:szCs w:val="28"/>
        </w:rPr>
        <w:t> </w:t>
      </w:r>
      <w:r w:rsidR="002B424B" w:rsidRPr="002B424B">
        <w:rPr>
          <w:rFonts w:ascii="Times New Roman" w:hAnsi="Times New Roman" w:cs="Times New Roman"/>
          <w:bCs/>
          <w:sz w:val="28"/>
          <w:szCs w:val="28"/>
        </w:rPr>
        <w:t>concorso dei creditori</w:t>
      </w:r>
      <w:r w:rsidR="002B424B" w:rsidRPr="002B424B">
        <w:rPr>
          <w:rFonts w:ascii="Times New Roman" w:hAnsi="Times New Roman" w:cs="Times New Roman"/>
          <w:sz w:val="28"/>
          <w:szCs w:val="28"/>
        </w:rPr>
        <w:t> che hanno scelto di sottoporre a pignoramento, in base a titoli esecu</w:t>
      </w:r>
      <w:r w:rsidR="002B424B">
        <w:rPr>
          <w:rFonts w:ascii="Times New Roman" w:hAnsi="Times New Roman" w:cs="Times New Roman"/>
          <w:sz w:val="28"/>
          <w:szCs w:val="28"/>
        </w:rPr>
        <w:t>tivi diversi, gli stessi beni; tuttavia, a differenza dell</w:t>
      </w:r>
      <w:r w:rsidR="008C7CED">
        <w:rPr>
          <w:rFonts w:ascii="Times New Roman" w:hAnsi="Times New Roman" w:cs="Times New Roman"/>
          <w:sz w:val="28"/>
          <w:szCs w:val="28"/>
        </w:rPr>
        <w:t>’</w:t>
      </w:r>
      <w:r w:rsidR="002B424B">
        <w:rPr>
          <w:rFonts w:ascii="Times New Roman" w:hAnsi="Times New Roman" w:cs="Times New Roman"/>
          <w:sz w:val="28"/>
          <w:szCs w:val="28"/>
        </w:rPr>
        <w:t xml:space="preserve">intervento, il pignoramento successivo mantiene la propria autonomia ed è funzionale alla realizzazione del c.d. </w:t>
      </w:r>
      <w:proofErr w:type="spellStart"/>
      <w:r w:rsidR="002B424B">
        <w:rPr>
          <w:rFonts w:ascii="Times New Roman" w:hAnsi="Times New Roman" w:cs="Times New Roman"/>
          <w:i/>
          <w:sz w:val="28"/>
          <w:szCs w:val="28"/>
        </w:rPr>
        <w:t>simultaneus</w:t>
      </w:r>
      <w:proofErr w:type="spellEnd"/>
      <w:r w:rsidR="002B424B">
        <w:rPr>
          <w:rFonts w:ascii="Times New Roman" w:hAnsi="Times New Roman" w:cs="Times New Roman"/>
          <w:i/>
          <w:sz w:val="28"/>
          <w:szCs w:val="28"/>
        </w:rPr>
        <w:t xml:space="preserve"> </w:t>
      </w:r>
      <w:proofErr w:type="spellStart"/>
      <w:r w:rsidR="002B424B">
        <w:rPr>
          <w:rFonts w:ascii="Times New Roman" w:hAnsi="Times New Roman" w:cs="Times New Roman"/>
          <w:i/>
          <w:sz w:val="28"/>
          <w:szCs w:val="28"/>
        </w:rPr>
        <w:t>processus</w:t>
      </w:r>
      <w:proofErr w:type="spellEnd"/>
      <w:r w:rsidR="002B424B">
        <w:rPr>
          <w:rFonts w:ascii="Times New Roman" w:hAnsi="Times New Roman" w:cs="Times New Roman"/>
          <w:sz w:val="28"/>
          <w:szCs w:val="28"/>
        </w:rPr>
        <w:t xml:space="preserve"> </w:t>
      </w:r>
      <w:r w:rsidR="002B424B" w:rsidRPr="00A87EFC">
        <w:rPr>
          <w:rFonts w:ascii="Times New Roman" w:hAnsi="Times New Roman" w:cs="Times New Roman"/>
          <w:sz w:val="28"/>
          <w:szCs w:val="28"/>
        </w:rPr>
        <w:t>→</w:t>
      </w:r>
      <w:r w:rsidR="002B424B">
        <w:rPr>
          <w:rFonts w:ascii="Times New Roman" w:hAnsi="Times New Roman" w:cs="Times New Roman"/>
          <w:sz w:val="28"/>
          <w:szCs w:val="28"/>
        </w:rPr>
        <w:t xml:space="preserve"> art. 493, co. 3.</w:t>
      </w:r>
    </w:p>
    <w:p w:rsidR="002B424B" w:rsidRDefault="002B424B" w:rsidP="00996EF8">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Infatti, ogni pignoramento conserva la propria </w:t>
      </w:r>
      <w:r w:rsidRPr="00A505C6">
        <w:rPr>
          <w:rFonts w:ascii="Times New Roman" w:hAnsi="Times New Roman" w:cs="Times New Roman"/>
          <w:b/>
          <w:sz w:val="28"/>
          <w:szCs w:val="28"/>
        </w:rPr>
        <w:t>autonomia</w:t>
      </w:r>
      <w:r>
        <w:rPr>
          <w:rFonts w:ascii="Times New Roman" w:hAnsi="Times New Roman" w:cs="Times New Roman"/>
          <w:sz w:val="28"/>
          <w:szCs w:val="28"/>
        </w:rPr>
        <w:t xml:space="preserve">, anche ai fini del termine di efficacia </w:t>
      </w:r>
      <w:r w:rsidRPr="00A87EFC">
        <w:rPr>
          <w:rFonts w:ascii="Times New Roman" w:hAnsi="Times New Roman" w:cs="Times New Roman"/>
          <w:sz w:val="28"/>
          <w:szCs w:val="28"/>
        </w:rPr>
        <w:t>→</w:t>
      </w:r>
      <w:r>
        <w:rPr>
          <w:rFonts w:ascii="Times New Roman" w:hAnsi="Times New Roman" w:cs="Times New Roman"/>
          <w:sz w:val="28"/>
          <w:szCs w:val="28"/>
        </w:rPr>
        <w:t xml:space="preserve"> art. 497, 562.</w:t>
      </w:r>
    </w:p>
    <w:p w:rsidR="002B424B" w:rsidRDefault="002B424B" w:rsidP="00996EF8">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In dottrina, si afferma il principio secondo cui la c.d. unità processuale giova e non nuoce ai pignoramenti riuniti, nel senso che, per esempio, </w:t>
      </w:r>
      <w:r w:rsidRPr="002B424B">
        <w:rPr>
          <w:rFonts w:ascii="Times New Roman" w:hAnsi="Times New Roman" w:cs="Times New Roman"/>
          <w:sz w:val="28"/>
          <w:szCs w:val="28"/>
        </w:rPr>
        <w:t>l</w:t>
      </w:r>
      <w:r w:rsidR="008C7CED">
        <w:rPr>
          <w:rFonts w:ascii="Times New Roman" w:hAnsi="Times New Roman" w:cs="Times New Roman"/>
          <w:sz w:val="28"/>
          <w:szCs w:val="28"/>
        </w:rPr>
        <w:t>’</w:t>
      </w:r>
      <w:r w:rsidRPr="002B424B">
        <w:rPr>
          <w:rFonts w:ascii="Times New Roman" w:hAnsi="Times New Roman" w:cs="Times New Roman"/>
          <w:sz w:val="28"/>
          <w:szCs w:val="28"/>
        </w:rPr>
        <w:t xml:space="preserve">invalidità, la caducazione, la sospensione, la rinunzia relative al primo pignoramento non </w:t>
      </w:r>
      <w:r>
        <w:rPr>
          <w:rFonts w:ascii="Times New Roman" w:hAnsi="Times New Roman" w:cs="Times New Roman"/>
          <w:sz w:val="28"/>
          <w:szCs w:val="28"/>
        </w:rPr>
        <w:t xml:space="preserve">pregiudicano </w:t>
      </w:r>
      <w:r w:rsidRPr="002B424B">
        <w:rPr>
          <w:rFonts w:ascii="Times New Roman" w:hAnsi="Times New Roman" w:cs="Times New Roman"/>
          <w:sz w:val="28"/>
          <w:szCs w:val="28"/>
        </w:rPr>
        <w:t>l</w:t>
      </w:r>
      <w:r w:rsidR="008C7CED">
        <w:rPr>
          <w:rFonts w:ascii="Times New Roman" w:hAnsi="Times New Roman" w:cs="Times New Roman"/>
          <w:sz w:val="28"/>
          <w:szCs w:val="28"/>
        </w:rPr>
        <w:t>’</w:t>
      </w:r>
      <w:r w:rsidRPr="002B424B">
        <w:rPr>
          <w:rFonts w:ascii="Times New Roman" w:hAnsi="Times New Roman" w:cs="Times New Roman"/>
          <w:sz w:val="28"/>
          <w:szCs w:val="28"/>
        </w:rPr>
        <w:t>altro pignoramento unito</w:t>
      </w:r>
      <w:r w:rsidR="00AA1158">
        <w:rPr>
          <w:rFonts w:ascii="Times New Roman" w:hAnsi="Times New Roman" w:cs="Times New Roman"/>
          <w:sz w:val="28"/>
          <w:szCs w:val="28"/>
        </w:rPr>
        <w:t xml:space="preserve">, e viceversa </w:t>
      </w:r>
      <w:r>
        <w:rPr>
          <w:rFonts w:ascii="Times New Roman" w:hAnsi="Times New Roman" w:cs="Times New Roman"/>
          <w:sz w:val="28"/>
          <w:szCs w:val="28"/>
        </w:rPr>
        <w:t xml:space="preserve">gli effetti </w:t>
      </w:r>
      <w:r w:rsidR="00AA1158">
        <w:rPr>
          <w:rFonts w:ascii="Times New Roman" w:hAnsi="Times New Roman" w:cs="Times New Roman"/>
          <w:sz w:val="28"/>
          <w:szCs w:val="28"/>
        </w:rPr>
        <w:t>di cui all</w:t>
      </w:r>
      <w:r w:rsidR="008C7CED">
        <w:rPr>
          <w:rFonts w:ascii="Times New Roman" w:hAnsi="Times New Roman" w:cs="Times New Roman"/>
          <w:sz w:val="28"/>
          <w:szCs w:val="28"/>
        </w:rPr>
        <w:t>’</w:t>
      </w:r>
      <w:r w:rsidR="00AA1158" w:rsidRPr="00A87EFC">
        <w:rPr>
          <w:rFonts w:ascii="Times New Roman" w:hAnsi="Times New Roman" w:cs="Times New Roman"/>
          <w:sz w:val="28"/>
          <w:szCs w:val="28"/>
        </w:rPr>
        <w:t>→</w:t>
      </w:r>
      <w:r w:rsidR="00AA1158">
        <w:rPr>
          <w:rFonts w:ascii="Times New Roman" w:hAnsi="Times New Roman" w:cs="Times New Roman"/>
          <w:sz w:val="28"/>
          <w:szCs w:val="28"/>
        </w:rPr>
        <w:t xml:space="preserve"> art. 2913 c.c. si producono anche nei confronti del secondo pignoramento.</w:t>
      </w:r>
    </w:p>
    <w:p w:rsidR="00466789" w:rsidRDefault="00466789" w:rsidP="00996EF8">
      <w:pPr>
        <w:spacing w:after="0" w:line="240" w:lineRule="auto"/>
        <w:jc w:val="both"/>
        <w:rPr>
          <w:rFonts w:ascii="Times New Roman" w:hAnsi="Times New Roman" w:cs="Times New Roman"/>
          <w:sz w:val="28"/>
          <w:szCs w:val="28"/>
        </w:rPr>
      </w:pPr>
      <w:r w:rsidRPr="00A505C6">
        <w:rPr>
          <w:rFonts w:ascii="Times New Roman" w:hAnsi="Times New Roman" w:cs="Times New Roman"/>
          <w:sz w:val="28"/>
          <w:szCs w:val="28"/>
          <w:highlight w:val="yellow"/>
        </w:rPr>
        <w:t xml:space="preserve">Alla luce di quanto sopra detto, si potrebbe concludere che il creditore munito di titolo esecutivo </w:t>
      </w:r>
      <w:r w:rsidR="00BF2402" w:rsidRPr="00A505C6">
        <w:rPr>
          <w:rFonts w:ascii="Times New Roman" w:hAnsi="Times New Roman" w:cs="Times New Roman"/>
          <w:sz w:val="28"/>
          <w:szCs w:val="28"/>
          <w:highlight w:val="yellow"/>
        </w:rPr>
        <w:t xml:space="preserve">debba preferire un pignoramento successivo all’intervento. Se ogni pignoramento ha effetto indipendente, anche se unito ad altri in un unico processo, ciò significa che caduto eventualmente il primo non si avrà caducazione dell’espropriazione che potrà essere sorretta dal secondo. Diversamente la caducazione del pignoramento </w:t>
      </w:r>
      <w:r w:rsidR="00BF2402" w:rsidRPr="00A505C6">
        <w:rPr>
          <w:rFonts w:ascii="Times New Roman" w:hAnsi="Times New Roman" w:cs="Times New Roman"/>
          <w:b/>
          <w:sz w:val="28"/>
          <w:szCs w:val="28"/>
          <w:highlight w:val="yellow"/>
        </w:rPr>
        <w:t>travolge ogni intervento</w:t>
      </w:r>
      <w:r w:rsidR="00BF2402" w:rsidRPr="00A505C6">
        <w:rPr>
          <w:rFonts w:ascii="Times New Roman" w:hAnsi="Times New Roman" w:cs="Times New Roman"/>
          <w:sz w:val="28"/>
          <w:szCs w:val="28"/>
          <w:highlight w:val="yellow"/>
        </w:rPr>
        <w:t xml:space="preserve"> titolato o meno. Tuttavia, tale orientamento è stato messo in discussione dalla Corte di Cassazione la quale ha affer</w:t>
      </w:r>
      <w:r w:rsidR="00B06548" w:rsidRPr="00A505C6">
        <w:rPr>
          <w:rFonts w:ascii="Times New Roman" w:hAnsi="Times New Roman" w:cs="Times New Roman"/>
          <w:sz w:val="28"/>
          <w:szCs w:val="28"/>
          <w:highlight w:val="yellow"/>
        </w:rPr>
        <w:t>mato che nel processo esecutivo, cui partecipano più creditori concorrenti, le vicende relative al titolo esecutivo del creditore procedente non possono impedire la prosecuzione su impulso del creditore intervenuto il cui titolo abbia conservato la sua forza esecutiva.</w:t>
      </w:r>
      <w:r w:rsidR="00A505C6" w:rsidRPr="00A505C6">
        <w:rPr>
          <w:rFonts w:ascii="Times New Roman" w:hAnsi="Times New Roman" w:cs="Times New Roman"/>
          <w:sz w:val="28"/>
          <w:szCs w:val="28"/>
          <w:highlight w:val="yellow"/>
        </w:rPr>
        <w:t xml:space="preserve"> </w:t>
      </w:r>
      <w:proofErr w:type="gramStart"/>
      <w:r w:rsidR="00B06548" w:rsidRPr="00A505C6">
        <w:rPr>
          <w:rFonts w:ascii="Times New Roman" w:hAnsi="Times New Roman" w:cs="Times New Roman"/>
          <w:sz w:val="28"/>
          <w:szCs w:val="28"/>
          <w:highlight w:val="yellow"/>
        </w:rPr>
        <w:t>E</w:t>
      </w:r>
      <w:r w:rsidR="00807193" w:rsidRPr="00A505C6">
        <w:rPr>
          <w:rFonts w:ascii="Times New Roman" w:hAnsi="Times New Roman" w:cs="Times New Roman"/>
          <w:sz w:val="28"/>
          <w:szCs w:val="28"/>
          <w:highlight w:val="yellow"/>
        </w:rPr>
        <w:t>’</w:t>
      </w:r>
      <w:proofErr w:type="gramEnd"/>
      <w:r w:rsidR="00807193" w:rsidRPr="00A505C6">
        <w:rPr>
          <w:rFonts w:ascii="Times New Roman" w:hAnsi="Times New Roman" w:cs="Times New Roman"/>
          <w:sz w:val="28"/>
          <w:szCs w:val="28"/>
          <w:highlight w:val="yellow"/>
        </w:rPr>
        <w:t xml:space="preserve"> </w:t>
      </w:r>
      <w:r w:rsidR="00B06548" w:rsidRPr="00A505C6">
        <w:rPr>
          <w:rFonts w:ascii="Times New Roman" w:hAnsi="Times New Roman" w:cs="Times New Roman"/>
          <w:sz w:val="28"/>
          <w:szCs w:val="28"/>
          <w:highlight w:val="yellow"/>
        </w:rPr>
        <w:t>necessario, peraltro, verificare se il difetto del titolo posto a fondamento dell’azione esecutiva del creditore procedente sia originario o sopravvenuto, posto che solo nel primo caso l’azione esecutiva non può essere proseguita da parte dei creditori titolati. In conclusione, se non si vuole rendere inutilizzabile l’istituto dell’intervento e costringere sempre il creditore ad effettuare un nuovo pignoramento, con evidente spreco di tempi e costi</w:t>
      </w:r>
      <w:r w:rsidR="002B3EA6" w:rsidRPr="00A505C6">
        <w:rPr>
          <w:rFonts w:ascii="Times New Roman" w:hAnsi="Times New Roman" w:cs="Times New Roman"/>
          <w:sz w:val="28"/>
          <w:szCs w:val="28"/>
          <w:highlight w:val="yellow"/>
        </w:rPr>
        <w:t>, occorre distinguere tra i vizi che egli è in grado di percepire, perché relativi al pignoramento o al titolo esecutivo, e vizi cd</w:t>
      </w:r>
      <w:r w:rsidR="00807193" w:rsidRPr="00A505C6">
        <w:rPr>
          <w:rFonts w:ascii="Times New Roman" w:hAnsi="Times New Roman" w:cs="Times New Roman"/>
          <w:sz w:val="28"/>
          <w:szCs w:val="28"/>
          <w:highlight w:val="yellow"/>
        </w:rPr>
        <w:t>.</w:t>
      </w:r>
      <w:r w:rsidR="002B3EA6" w:rsidRPr="00A505C6">
        <w:rPr>
          <w:rFonts w:ascii="Times New Roman" w:hAnsi="Times New Roman" w:cs="Times New Roman"/>
          <w:sz w:val="28"/>
          <w:szCs w:val="28"/>
          <w:highlight w:val="yellow"/>
        </w:rPr>
        <w:t xml:space="preserve"> occulti (facciamo questo esempio: Tizio è creditore procedente contro Sempronio sulla base di una sentenza di primo grado appellata;</w:t>
      </w:r>
      <w:r w:rsidR="00B06548" w:rsidRPr="00A505C6">
        <w:rPr>
          <w:rFonts w:ascii="Times New Roman" w:hAnsi="Times New Roman" w:cs="Times New Roman"/>
          <w:sz w:val="28"/>
          <w:szCs w:val="28"/>
          <w:highlight w:val="yellow"/>
        </w:rPr>
        <w:t xml:space="preserve"> </w:t>
      </w:r>
      <w:r w:rsidR="002B3EA6" w:rsidRPr="00A505C6">
        <w:rPr>
          <w:rFonts w:ascii="Times New Roman" w:hAnsi="Times New Roman" w:cs="Times New Roman"/>
          <w:sz w:val="28"/>
          <w:szCs w:val="28"/>
          <w:highlight w:val="yellow"/>
        </w:rPr>
        <w:t>Caio al momento dell’intervento può verificare se il pignoramento è fatto sulla base di una sentenza di condanna e non di mero accertamento, ma non può valutare dall’esame degli atti del processo esecutivo se l’appello di Sempronio è fondato).</w:t>
      </w:r>
      <w:bookmarkStart w:id="0" w:name="_GoBack"/>
      <w:bookmarkEnd w:id="0"/>
    </w:p>
    <w:p w:rsidR="00AA1158" w:rsidRDefault="00AA1158" w:rsidP="00996EF8">
      <w:pPr>
        <w:spacing w:after="0" w:line="24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Interessato al pignoramento successivo può essere lo stesso creditore primo pignorante, qualora, per esempio, tema di essere incorso in una vicenda </w:t>
      </w:r>
      <w:proofErr w:type="spellStart"/>
      <w:r>
        <w:rPr>
          <w:rFonts w:ascii="Times New Roman" w:hAnsi="Times New Roman" w:cs="Times New Roman"/>
          <w:sz w:val="28"/>
          <w:szCs w:val="28"/>
        </w:rPr>
        <w:t>caducatoria</w:t>
      </w:r>
      <w:proofErr w:type="spellEnd"/>
      <w:r>
        <w:rPr>
          <w:rFonts w:ascii="Times New Roman" w:hAnsi="Times New Roman" w:cs="Times New Roman"/>
          <w:sz w:val="28"/>
          <w:szCs w:val="28"/>
        </w:rPr>
        <w:t xml:space="preserve"> del primo.</w:t>
      </w:r>
    </w:p>
    <w:p w:rsidR="00AA1158" w:rsidRDefault="00AA1158" w:rsidP="00996EF8">
      <w:pPr>
        <w:spacing w:after="0" w:line="240" w:lineRule="auto"/>
        <w:jc w:val="both"/>
        <w:rPr>
          <w:rFonts w:ascii="Times New Roman" w:hAnsi="Times New Roman" w:cs="Times New Roman"/>
          <w:sz w:val="28"/>
          <w:szCs w:val="28"/>
        </w:rPr>
      </w:pPr>
      <w:r>
        <w:rPr>
          <w:rFonts w:ascii="Times New Roman" w:hAnsi="Times New Roman" w:cs="Times New Roman"/>
          <w:sz w:val="28"/>
          <w:szCs w:val="28"/>
        </w:rPr>
        <w:t>Da ultimo occorre tener presente il rischio che deriva dalla organizzazione dei registri immobiliari, basati sul criterio personale, il che espone al rischio, nient</w:t>
      </w:r>
      <w:r w:rsidR="008C7CED">
        <w:rPr>
          <w:rFonts w:ascii="Times New Roman" w:hAnsi="Times New Roman" w:cs="Times New Roman"/>
          <w:sz w:val="28"/>
          <w:szCs w:val="28"/>
        </w:rPr>
        <w:t>’</w:t>
      </w:r>
      <w:r>
        <w:rPr>
          <w:rFonts w:ascii="Times New Roman" w:hAnsi="Times New Roman" w:cs="Times New Roman"/>
          <w:sz w:val="28"/>
          <w:szCs w:val="28"/>
        </w:rPr>
        <w:t>affatto recondito, che più pignoramenti colpiscano lo stesso bene intestato a più soggetti, ancorché con titoli di acquisto in conflitto tra loro.</w:t>
      </w:r>
    </w:p>
    <w:p w:rsidR="00AA1158" w:rsidRPr="00AA1158" w:rsidRDefault="00AA1158" w:rsidP="00996EF8">
      <w:pPr>
        <w:spacing w:after="0" w:line="240" w:lineRule="auto"/>
        <w:jc w:val="both"/>
        <w:rPr>
          <w:rFonts w:ascii="Times New Roman" w:hAnsi="Times New Roman" w:cs="Times New Roman"/>
          <w:sz w:val="28"/>
          <w:szCs w:val="28"/>
        </w:rPr>
      </w:pPr>
      <w:r>
        <w:rPr>
          <w:rFonts w:ascii="Times New Roman" w:hAnsi="Times New Roman" w:cs="Times New Roman"/>
          <w:sz w:val="28"/>
          <w:szCs w:val="28"/>
        </w:rPr>
        <w:t>Il</w:t>
      </w:r>
      <w:r w:rsidRPr="00AA1158">
        <w:rPr>
          <w:rFonts w:ascii="Times New Roman" w:hAnsi="Times New Roman" w:cs="Times New Roman"/>
          <w:sz w:val="28"/>
          <w:szCs w:val="28"/>
        </w:rPr>
        <w:t xml:space="preserve"> conservatore che trascrive il secondo pignoramento contro l</w:t>
      </w:r>
      <w:r w:rsidR="008C7CED">
        <w:rPr>
          <w:rFonts w:ascii="Times New Roman" w:hAnsi="Times New Roman" w:cs="Times New Roman"/>
          <w:sz w:val="28"/>
          <w:szCs w:val="28"/>
        </w:rPr>
        <w:t>’</w:t>
      </w:r>
      <w:r w:rsidRPr="00AA1158">
        <w:rPr>
          <w:rFonts w:ascii="Times New Roman" w:hAnsi="Times New Roman" w:cs="Times New Roman"/>
          <w:sz w:val="28"/>
          <w:szCs w:val="28"/>
        </w:rPr>
        <w:t>acquirente non ha modo di conoscere il primo pignoramento, la cui trascrizione è stata presa contro l</w:t>
      </w:r>
      <w:r w:rsidR="008C7CED">
        <w:rPr>
          <w:rFonts w:ascii="Times New Roman" w:hAnsi="Times New Roman" w:cs="Times New Roman"/>
          <w:sz w:val="28"/>
          <w:szCs w:val="28"/>
        </w:rPr>
        <w:t>’</w:t>
      </w:r>
      <w:r w:rsidRPr="00AA1158">
        <w:rPr>
          <w:rFonts w:ascii="Times New Roman" w:hAnsi="Times New Roman" w:cs="Times New Roman"/>
          <w:sz w:val="28"/>
          <w:szCs w:val="28"/>
        </w:rPr>
        <w:t>alienante</w:t>
      </w:r>
      <w:r>
        <w:rPr>
          <w:rFonts w:ascii="Times New Roman" w:hAnsi="Times New Roman" w:cs="Times New Roman"/>
          <w:smallCaps/>
          <w:sz w:val="28"/>
          <w:szCs w:val="28"/>
        </w:rPr>
        <w:t xml:space="preserve">; </w:t>
      </w:r>
      <w:r>
        <w:rPr>
          <w:rFonts w:ascii="Times New Roman" w:hAnsi="Times New Roman" w:cs="Times New Roman"/>
          <w:sz w:val="28"/>
          <w:szCs w:val="28"/>
        </w:rPr>
        <w:t xml:space="preserve">appare dubbia, in questi casi, la possibilità di riunire le procedure. </w:t>
      </w:r>
      <w:r w:rsidR="00807193" w:rsidRPr="00807193">
        <w:rPr>
          <w:rFonts w:ascii="Times New Roman" w:hAnsi="Times New Roman" w:cs="Times New Roman"/>
          <w:sz w:val="28"/>
          <w:szCs w:val="28"/>
          <w:highlight w:val="yellow"/>
        </w:rPr>
        <w:t xml:space="preserve">In altre parole, la disciplina descritta </w:t>
      </w:r>
      <w:r w:rsidR="00807193">
        <w:rPr>
          <w:rFonts w:ascii="Times New Roman" w:hAnsi="Times New Roman" w:cs="Times New Roman"/>
          <w:sz w:val="28"/>
          <w:szCs w:val="28"/>
          <w:highlight w:val="yellow"/>
        </w:rPr>
        <w:t>non mette al riparo dal pericolo</w:t>
      </w:r>
      <w:r w:rsidR="00807193" w:rsidRPr="00807193">
        <w:rPr>
          <w:rFonts w:ascii="Times New Roman" w:hAnsi="Times New Roman" w:cs="Times New Roman"/>
          <w:sz w:val="28"/>
          <w:szCs w:val="28"/>
          <w:highlight w:val="yellow"/>
        </w:rPr>
        <w:t xml:space="preserve"> di più espropriazioni contro lo stesso immobile.</w:t>
      </w:r>
    </w:p>
    <w:p w:rsidR="00AA1158" w:rsidRDefault="00AA1158" w:rsidP="00996EF8">
      <w:pPr>
        <w:spacing w:after="0" w:line="240" w:lineRule="auto"/>
        <w:jc w:val="both"/>
        <w:rPr>
          <w:rFonts w:ascii="Times New Roman" w:hAnsi="Times New Roman" w:cs="Times New Roman"/>
          <w:sz w:val="28"/>
          <w:szCs w:val="28"/>
        </w:rPr>
      </w:pPr>
    </w:p>
    <w:p w:rsidR="00AA1158" w:rsidRDefault="00AA1158" w:rsidP="00996EF8">
      <w:pPr>
        <w:spacing w:after="0" w:line="240" w:lineRule="auto"/>
        <w:jc w:val="both"/>
        <w:rPr>
          <w:rFonts w:ascii="Times New Roman" w:hAnsi="Times New Roman" w:cs="Times New Roman"/>
          <w:sz w:val="28"/>
          <w:szCs w:val="28"/>
        </w:rPr>
      </w:pPr>
    </w:p>
    <w:p w:rsidR="002B424B" w:rsidRPr="002B424B" w:rsidRDefault="002B424B" w:rsidP="00996EF8">
      <w:pPr>
        <w:spacing w:after="0" w:line="240" w:lineRule="auto"/>
        <w:jc w:val="both"/>
        <w:rPr>
          <w:rFonts w:ascii="Times New Roman" w:hAnsi="Times New Roman" w:cs="Times New Roman"/>
          <w:sz w:val="28"/>
          <w:szCs w:val="28"/>
        </w:rPr>
      </w:pPr>
    </w:p>
    <w:p w:rsidR="001E646B" w:rsidRDefault="001E646B" w:rsidP="00996EF8">
      <w:pPr>
        <w:spacing w:after="0" w:line="240" w:lineRule="auto"/>
        <w:jc w:val="both"/>
        <w:rPr>
          <w:rFonts w:ascii="Times New Roman" w:hAnsi="Times New Roman" w:cs="Times New Roman"/>
          <w:sz w:val="28"/>
          <w:szCs w:val="28"/>
        </w:rPr>
      </w:pPr>
    </w:p>
    <w:p w:rsidR="00996EF8" w:rsidRDefault="00996EF8" w:rsidP="00A77501">
      <w:pPr>
        <w:spacing w:after="0" w:line="240" w:lineRule="auto"/>
        <w:jc w:val="both"/>
        <w:rPr>
          <w:rFonts w:ascii="Times New Roman" w:hAnsi="Times New Roman" w:cs="Times New Roman"/>
          <w:sz w:val="28"/>
          <w:szCs w:val="28"/>
        </w:rPr>
      </w:pPr>
    </w:p>
    <w:p w:rsidR="00996EF8" w:rsidRPr="00996EF8" w:rsidRDefault="00996EF8" w:rsidP="00A77501">
      <w:pPr>
        <w:spacing w:after="0" w:line="240" w:lineRule="auto"/>
        <w:jc w:val="both"/>
        <w:rPr>
          <w:rFonts w:ascii="Times New Roman" w:hAnsi="Times New Roman" w:cs="Times New Roman"/>
          <w:sz w:val="28"/>
          <w:szCs w:val="28"/>
        </w:rPr>
      </w:pPr>
    </w:p>
    <w:p w:rsidR="00A87EFC" w:rsidRPr="00A87EFC" w:rsidRDefault="00A87EFC" w:rsidP="00A77501">
      <w:pPr>
        <w:spacing w:after="0" w:line="240" w:lineRule="auto"/>
        <w:jc w:val="both"/>
        <w:rPr>
          <w:rFonts w:ascii="Times New Roman" w:hAnsi="Times New Roman" w:cs="Times New Roman"/>
          <w:smallCaps/>
          <w:sz w:val="28"/>
          <w:szCs w:val="28"/>
        </w:rPr>
      </w:pPr>
    </w:p>
    <w:p w:rsidR="00A87EFC" w:rsidRPr="00A87EFC" w:rsidRDefault="00A87EFC" w:rsidP="00A77501">
      <w:pPr>
        <w:spacing w:after="0" w:line="240" w:lineRule="auto"/>
        <w:jc w:val="both"/>
        <w:rPr>
          <w:rFonts w:ascii="Times New Roman" w:hAnsi="Times New Roman" w:cs="Times New Roman"/>
          <w:sz w:val="28"/>
          <w:szCs w:val="28"/>
        </w:rPr>
      </w:pPr>
    </w:p>
    <w:p w:rsidR="00A87EFC" w:rsidRPr="00A87EFC" w:rsidRDefault="00A87EFC" w:rsidP="00A77501">
      <w:pPr>
        <w:spacing w:after="0" w:line="240" w:lineRule="auto"/>
        <w:jc w:val="both"/>
        <w:rPr>
          <w:rFonts w:ascii="Times New Roman" w:hAnsi="Times New Roman" w:cs="Times New Roman"/>
          <w:sz w:val="28"/>
          <w:szCs w:val="28"/>
        </w:rPr>
      </w:pPr>
    </w:p>
    <w:p w:rsidR="000739E9" w:rsidRPr="00A77501" w:rsidRDefault="000739E9" w:rsidP="00A77501">
      <w:pPr>
        <w:spacing w:after="0" w:line="240" w:lineRule="auto"/>
        <w:jc w:val="both"/>
        <w:rPr>
          <w:rFonts w:ascii="Times New Roman" w:hAnsi="Times New Roman" w:cs="Times New Roman"/>
          <w:sz w:val="28"/>
          <w:szCs w:val="28"/>
        </w:rPr>
      </w:pPr>
    </w:p>
    <w:p w:rsidR="00A77501" w:rsidRPr="00A77501" w:rsidRDefault="00A77501" w:rsidP="00A77501">
      <w:pPr>
        <w:spacing w:after="0" w:line="240" w:lineRule="auto"/>
        <w:jc w:val="both"/>
        <w:rPr>
          <w:rFonts w:ascii="Times New Roman" w:hAnsi="Times New Roman" w:cs="Times New Roman"/>
          <w:sz w:val="28"/>
          <w:szCs w:val="28"/>
        </w:rPr>
      </w:pPr>
    </w:p>
    <w:p w:rsidR="00A77501" w:rsidRDefault="00A77501" w:rsidP="006B1643">
      <w:pPr>
        <w:spacing w:after="0" w:line="240" w:lineRule="auto"/>
        <w:jc w:val="both"/>
        <w:rPr>
          <w:rFonts w:ascii="Times New Roman" w:hAnsi="Times New Roman" w:cs="Times New Roman"/>
          <w:sz w:val="28"/>
          <w:szCs w:val="28"/>
        </w:rPr>
      </w:pPr>
    </w:p>
    <w:p w:rsidR="00A77501" w:rsidRDefault="00A77501" w:rsidP="006B1643">
      <w:pPr>
        <w:spacing w:after="0" w:line="240" w:lineRule="auto"/>
        <w:jc w:val="both"/>
        <w:rPr>
          <w:rFonts w:ascii="Times New Roman" w:hAnsi="Times New Roman" w:cs="Times New Roman"/>
          <w:sz w:val="28"/>
          <w:szCs w:val="28"/>
        </w:rPr>
      </w:pPr>
    </w:p>
    <w:p w:rsidR="00032C04" w:rsidRPr="00032C04" w:rsidRDefault="00032C04" w:rsidP="00032C04">
      <w:pPr>
        <w:spacing w:after="0" w:line="240" w:lineRule="auto"/>
        <w:jc w:val="both"/>
        <w:rPr>
          <w:rFonts w:ascii="Times New Roman" w:hAnsi="Times New Roman" w:cs="Times New Roman"/>
          <w:sz w:val="28"/>
          <w:szCs w:val="28"/>
        </w:rPr>
      </w:pPr>
    </w:p>
    <w:sectPr w:rsidR="00032C04" w:rsidRPr="00032C04">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42A39"/>
    <w:rsid w:val="00032C04"/>
    <w:rsid w:val="000739E9"/>
    <w:rsid w:val="000B49D0"/>
    <w:rsid w:val="000D3EDA"/>
    <w:rsid w:val="000D77AB"/>
    <w:rsid w:val="00136218"/>
    <w:rsid w:val="00143EF1"/>
    <w:rsid w:val="00150B95"/>
    <w:rsid w:val="001518F4"/>
    <w:rsid w:val="0017098A"/>
    <w:rsid w:val="00185709"/>
    <w:rsid w:val="00192C97"/>
    <w:rsid w:val="00194379"/>
    <w:rsid w:val="001D365C"/>
    <w:rsid w:val="001E0B6D"/>
    <w:rsid w:val="001E56ED"/>
    <w:rsid w:val="001E646B"/>
    <w:rsid w:val="001F181E"/>
    <w:rsid w:val="00227A00"/>
    <w:rsid w:val="002523B3"/>
    <w:rsid w:val="00257735"/>
    <w:rsid w:val="002B3EA6"/>
    <w:rsid w:val="002B424B"/>
    <w:rsid w:val="00315996"/>
    <w:rsid w:val="00327CB2"/>
    <w:rsid w:val="00382EC9"/>
    <w:rsid w:val="00394B70"/>
    <w:rsid w:val="00413CAC"/>
    <w:rsid w:val="004156EF"/>
    <w:rsid w:val="00453220"/>
    <w:rsid w:val="00466789"/>
    <w:rsid w:val="004C48B3"/>
    <w:rsid w:val="004D51DC"/>
    <w:rsid w:val="004F6996"/>
    <w:rsid w:val="005245E3"/>
    <w:rsid w:val="00563E88"/>
    <w:rsid w:val="00583A4C"/>
    <w:rsid w:val="005B1476"/>
    <w:rsid w:val="006439F1"/>
    <w:rsid w:val="00682633"/>
    <w:rsid w:val="0069194D"/>
    <w:rsid w:val="006A194A"/>
    <w:rsid w:val="006A753A"/>
    <w:rsid w:val="006B1643"/>
    <w:rsid w:val="00712561"/>
    <w:rsid w:val="007379F2"/>
    <w:rsid w:val="007622D3"/>
    <w:rsid w:val="007B45CE"/>
    <w:rsid w:val="007F70D2"/>
    <w:rsid w:val="00807193"/>
    <w:rsid w:val="00882505"/>
    <w:rsid w:val="008A257F"/>
    <w:rsid w:val="008C7CED"/>
    <w:rsid w:val="009632D4"/>
    <w:rsid w:val="0097394E"/>
    <w:rsid w:val="00996EF8"/>
    <w:rsid w:val="009D1AC9"/>
    <w:rsid w:val="00A0103A"/>
    <w:rsid w:val="00A01142"/>
    <w:rsid w:val="00A02D89"/>
    <w:rsid w:val="00A42A39"/>
    <w:rsid w:val="00A505C6"/>
    <w:rsid w:val="00A77501"/>
    <w:rsid w:val="00A87EFC"/>
    <w:rsid w:val="00A931AF"/>
    <w:rsid w:val="00AA1158"/>
    <w:rsid w:val="00AC568D"/>
    <w:rsid w:val="00AD3256"/>
    <w:rsid w:val="00AD4E17"/>
    <w:rsid w:val="00AE6FFA"/>
    <w:rsid w:val="00B06548"/>
    <w:rsid w:val="00B22A88"/>
    <w:rsid w:val="00B349AC"/>
    <w:rsid w:val="00B57004"/>
    <w:rsid w:val="00B82F5F"/>
    <w:rsid w:val="00BE22D0"/>
    <w:rsid w:val="00BF2402"/>
    <w:rsid w:val="00C94991"/>
    <w:rsid w:val="00CC0533"/>
    <w:rsid w:val="00D23869"/>
    <w:rsid w:val="00D41E45"/>
    <w:rsid w:val="00E17284"/>
    <w:rsid w:val="00E917B8"/>
    <w:rsid w:val="00EA18D7"/>
    <w:rsid w:val="00EA6944"/>
    <w:rsid w:val="00EC1501"/>
    <w:rsid w:val="00F15A91"/>
    <w:rsid w:val="00F27F03"/>
    <w:rsid w:val="00F775C1"/>
    <w:rsid w:val="00F85283"/>
    <w:rsid w:val="00FF0C6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E338FB"/>
  <w15:docId w15:val="{66B1C241-B3C3-4CF3-94E0-1DFB8C3BFD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paragraph" w:styleId="Titolo1">
    <w:name w:val="heading 1"/>
    <w:basedOn w:val="Normale"/>
    <w:next w:val="Normale"/>
    <w:link w:val="Titolo1Carattere"/>
    <w:uiPriority w:val="9"/>
    <w:qFormat/>
    <w:rsid w:val="005245E3"/>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394B70"/>
    <w:rPr>
      <w:color w:val="0000FF" w:themeColor="hyperlink"/>
      <w:u w:val="single"/>
    </w:rPr>
  </w:style>
  <w:style w:type="character" w:customStyle="1" w:styleId="Titolo1Carattere">
    <w:name w:val="Titolo 1 Carattere"/>
    <w:basedOn w:val="Carpredefinitoparagrafo"/>
    <w:link w:val="Titolo1"/>
    <w:uiPriority w:val="9"/>
    <w:rsid w:val="005245E3"/>
    <w:rPr>
      <w:rFonts w:asciiTheme="majorHAnsi" w:eastAsiaTheme="majorEastAsia" w:hAnsiTheme="majorHAnsi" w:cstheme="majorBidi"/>
      <w:color w:val="365F91" w:themeColor="accent1" w:themeShade="BF"/>
      <w:sz w:val="32"/>
      <w:szCs w:val="32"/>
    </w:rPr>
  </w:style>
  <w:style w:type="paragraph" w:styleId="Corpotesto">
    <w:name w:val="Body Text"/>
    <w:basedOn w:val="Normale"/>
    <w:link w:val="CorpotestoCarattere"/>
    <w:uiPriority w:val="99"/>
    <w:unhideWhenUsed/>
    <w:rsid w:val="005245E3"/>
    <w:pPr>
      <w:spacing w:after="120"/>
    </w:pPr>
  </w:style>
  <w:style w:type="character" w:customStyle="1" w:styleId="CorpotestoCarattere">
    <w:name w:val="Corpo testo Carattere"/>
    <w:basedOn w:val="Carpredefinitoparagrafo"/>
    <w:link w:val="Corpotesto"/>
    <w:uiPriority w:val="99"/>
    <w:rsid w:val="005245E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5687611">
      <w:bodyDiv w:val="1"/>
      <w:marLeft w:val="0"/>
      <w:marRight w:val="0"/>
      <w:marTop w:val="0"/>
      <w:marBottom w:val="0"/>
      <w:divBdr>
        <w:top w:val="none" w:sz="0" w:space="0" w:color="auto"/>
        <w:left w:val="none" w:sz="0" w:space="0" w:color="auto"/>
        <w:bottom w:val="none" w:sz="0" w:space="0" w:color="auto"/>
        <w:right w:val="none" w:sz="0" w:space="0" w:color="auto"/>
      </w:divBdr>
    </w:div>
    <w:div w:id="1341734964">
      <w:bodyDiv w:val="1"/>
      <w:marLeft w:val="0"/>
      <w:marRight w:val="0"/>
      <w:marTop w:val="0"/>
      <w:marBottom w:val="0"/>
      <w:divBdr>
        <w:top w:val="none" w:sz="0" w:space="0" w:color="auto"/>
        <w:left w:val="none" w:sz="0" w:space="0" w:color="auto"/>
        <w:bottom w:val="none" w:sz="0" w:space="0" w:color="auto"/>
        <w:right w:val="none" w:sz="0" w:space="0" w:color="auto"/>
      </w:divBdr>
    </w:div>
    <w:div w:id="1540315617">
      <w:bodyDiv w:val="1"/>
      <w:marLeft w:val="0"/>
      <w:marRight w:val="0"/>
      <w:marTop w:val="0"/>
      <w:marBottom w:val="0"/>
      <w:divBdr>
        <w:top w:val="none" w:sz="0" w:space="0" w:color="auto"/>
        <w:left w:val="none" w:sz="0" w:space="0" w:color="auto"/>
        <w:bottom w:val="none" w:sz="0" w:space="0" w:color="auto"/>
        <w:right w:val="none" w:sz="0" w:space="0" w:color="auto"/>
      </w:divBdr>
    </w:div>
    <w:div w:id="1841191345">
      <w:bodyDiv w:val="1"/>
      <w:marLeft w:val="0"/>
      <w:marRight w:val="0"/>
      <w:marTop w:val="0"/>
      <w:marBottom w:val="0"/>
      <w:divBdr>
        <w:top w:val="none" w:sz="0" w:space="0" w:color="auto"/>
        <w:left w:val="none" w:sz="0" w:space="0" w:color="auto"/>
        <w:bottom w:val="none" w:sz="0" w:space="0" w:color="auto"/>
        <w:right w:val="none" w:sz="0" w:space="0" w:color="auto"/>
      </w:divBdr>
    </w:div>
    <w:div w:id="19059488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206</TotalTime>
  <Pages>1</Pages>
  <Words>1129</Words>
  <Characters>6441</Characters>
  <Application>Microsoft Office Word</Application>
  <DocSecurity>0</DocSecurity>
  <Lines>53</Lines>
  <Paragraphs>15</Paragraphs>
  <ScaleCrop>false</ScaleCrop>
  <HeadingPairs>
    <vt:vector size="2" baseType="variant">
      <vt:variant>
        <vt:lpstr>Titolo</vt:lpstr>
      </vt:variant>
      <vt:variant>
        <vt:i4>1</vt:i4>
      </vt:variant>
    </vt:vector>
  </HeadingPairs>
  <TitlesOfParts>
    <vt:vector size="1" baseType="lpstr">
      <vt:lpstr/>
    </vt:vector>
  </TitlesOfParts>
  <Company>Microsoft</Company>
  <LinksUpToDate>false</LinksUpToDate>
  <CharactersWithSpaces>7555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Utente</cp:lastModifiedBy>
  <cp:revision>13</cp:revision>
  <dcterms:created xsi:type="dcterms:W3CDTF">2020-06-26T20:59:00Z</dcterms:created>
  <dcterms:modified xsi:type="dcterms:W3CDTF">2023-04-05T16:11:00Z</dcterms:modified>
</cp:coreProperties>
</file>