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778F" w:rsidRDefault="007F778F" w:rsidP="007F778F">
      <w:pPr>
        <w:jc w:val="both"/>
        <w:rPr>
          <w:rFonts w:ascii="Garamond" w:hAnsi="Garamond"/>
          <w:b/>
          <w:bCs/>
          <w:i/>
          <w:iCs/>
        </w:rPr>
      </w:pPr>
      <w:r w:rsidRPr="007F778F">
        <w:rPr>
          <w:rFonts w:ascii="Garamond" w:hAnsi="Garamond"/>
          <w:b/>
          <w:bCs/>
          <w:i/>
          <w:iCs/>
        </w:rPr>
        <w:t>Tracce di un percorso ermeneutico</w:t>
      </w:r>
    </w:p>
    <w:p w:rsidR="007F778F" w:rsidRDefault="007F778F" w:rsidP="007F778F">
      <w:pPr>
        <w:jc w:val="both"/>
        <w:rPr>
          <w:rFonts w:ascii="Garamond" w:hAnsi="Garamond"/>
          <w:b/>
          <w:bCs/>
          <w:i/>
          <w:iCs/>
        </w:rPr>
      </w:pPr>
    </w:p>
    <w:p w:rsidR="007F778F" w:rsidRDefault="007F778F" w:rsidP="007F778F">
      <w:pPr>
        <w:jc w:val="both"/>
        <w:rPr>
          <w:rFonts w:ascii="Garamond" w:hAnsi="Garamond"/>
        </w:rPr>
      </w:pPr>
      <w:r>
        <w:rPr>
          <w:rFonts w:ascii="Garamond" w:hAnsi="Garamond"/>
        </w:rPr>
        <w:t>Napoli 12.03.2026</w:t>
      </w:r>
    </w:p>
    <w:p w:rsidR="007F778F" w:rsidRDefault="007F778F" w:rsidP="007F778F">
      <w:pPr>
        <w:jc w:val="both"/>
        <w:rPr>
          <w:rFonts w:ascii="Garamond" w:hAnsi="Garamond"/>
        </w:rPr>
      </w:pPr>
    </w:p>
    <w:p w:rsidR="007F778F" w:rsidRDefault="007F778F" w:rsidP="007F778F">
      <w:pPr>
        <w:pStyle w:val="Paragrafoelenco"/>
        <w:numPr>
          <w:ilvl w:val="0"/>
          <w:numId w:val="1"/>
        </w:numPr>
        <w:jc w:val="both"/>
        <w:rPr>
          <w:rFonts w:ascii="Garamond" w:hAnsi="Garamond"/>
        </w:rPr>
      </w:pPr>
      <w:r>
        <w:rPr>
          <w:rFonts w:ascii="Garamond" w:hAnsi="Garamond"/>
        </w:rPr>
        <w:t>Saluti e ringraziamenti:</w:t>
      </w:r>
    </w:p>
    <w:p w:rsidR="007F778F" w:rsidRDefault="007F778F" w:rsidP="007F778F">
      <w:pPr>
        <w:pStyle w:val="Paragrafoelenco"/>
        <w:jc w:val="both"/>
        <w:rPr>
          <w:rFonts w:ascii="Garamond" w:hAnsi="Garamond"/>
        </w:rPr>
      </w:pPr>
      <w:r>
        <w:rPr>
          <w:rFonts w:ascii="Garamond" w:hAnsi="Garamond"/>
        </w:rPr>
        <w:t>Ospiti – Presidenti – Colleghi-Ludovico-Pierfranco</w:t>
      </w:r>
    </w:p>
    <w:p w:rsidR="007F778F" w:rsidRDefault="007F778F" w:rsidP="007F778F">
      <w:pPr>
        <w:pStyle w:val="Paragrafoelenco"/>
        <w:numPr>
          <w:ilvl w:val="0"/>
          <w:numId w:val="1"/>
        </w:numPr>
        <w:jc w:val="both"/>
        <w:rPr>
          <w:rFonts w:ascii="Garamond" w:hAnsi="Garamond"/>
        </w:rPr>
      </w:pPr>
      <w:r>
        <w:rPr>
          <w:rFonts w:ascii="Garamond" w:hAnsi="Garamond"/>
        </w:rPr>
        <w:t>Perché ‘tracce’?</w:t>
      </w:r>
    </w:p>
    <w:p w:rsidR="007F778F" w:rsidRDefault="007F778F" w:rsidP="007F778F">
      <w:pPr>
        <w:pStyle w:val="Paragrafoelenco"/>
        <w:jc w:val="both"/>
        <w:rPr>
          <w:rFonts w:ascii="Garamond" w:hAnsi="Garamond"/>
        </w:rPr>
      </w:pPr>
      <w:r>
        <w:rPr>
          <w:rFonts w:ascii="Garamond" w:hAnsi="Garamond"/>
        </w:rPr>
        <w:t>Gli interventi del giorno prima rappresentano delle ‘tracce’. Il discorso sulla natura, sulle generazioni future, sul ‘</w:t>
      </w:r>
      <w:proofErr w:type="spellStart"/>
      <w:r>
        <w:rPr>
          <w:rFonts w:ascii="Garamond" w:hAnsi="Garamond"/>
        </w:rPr>
        <w:t>fondo’</w:t>
      </w:r>
      <w:proofErr w:type="spellEnd"/>
      <w:r>
        <w:rPr>
          <w:rFonts w:ascii="Garamond" w:hAnsi="Garamond"/>
        </w:rPr>
        <w:t xml:space="preserve"> del diritto, sull’alterità. Rappresentano tutte delle tracce, come da titolo, di un ‘percorso’</w:t>
      </w:r>
    </w:p>
    <w:p w:rsidR="007F778F" w:rsidRDefault="007F778F" w:rsidP="007F778F">
      <w:pPr>
        <w:pStyle w:val="Paragrafoelenco"/>
        <w:numPr>
          <w:ilvl w:val="0"/>
          <w:numId w:val="1"/>
        </w:numPr>
        <w:jc w:val="both"/>
        <w:rPr>
          <w:rFonts w:ascii="Garamond" w:hAnsi="Garamond"/>
        </w:rPr>
      </w:pPr>
      <w:r>
        <w:rPr>
          <w:rFonts w:ascii="Garamond" w:hAnsi="Garamond"/>
        </w:rPr>
        <w:t>Di che percorso si tratta?</w:t>
      </w:r>
    </w:p>
    <w:p w:rsidR="007F778F" w:rsidRDefault="007F778F" w:rsidP="007F778F">
      <w:pPr>
        <w:pStyle w:val="Paragrafoelenco"/>
        <w:jc w:val="both"/>
        <w:rPr>
          <w:rFonts w:ascii="Garamond" w:hAnsi="Garamond"/>
        </w:rPr>
      </w:pPr>
      <w:r>
        <w:rPr>
          <w:rFonts w:ascii="Garamond" w:hAnsi="Garamond"/>
        </w:rPr>
        <w:t xml:space="preserve">Si tratta del percorso del ‘riconoscimento’. Che differenza intercorre tra questo ‘singolare’ </w:t>
      </w:r>
      <w:r w:rsidR="00983626">
        <w:rPr>
          <w:rFonts w:ascii="Garamond" w:hAnsi="Garamond"/>
        </w:rPr>
        <w:t>e i</w:t>
      </w:r>
      <w:r>
        <w:rPr>
          <w:rFonts w:ascii="Garamond" w:hAnsi="Garamond"/>
        </w:rPr>
        <w:t>l riferimento plurale ai ‘percorsi’ degli interventi di ieri che del primo -al singolare- rappresentano delle tracce</w:t>
      </w:r>
    </w:p>
    <w:p w:rsidR="007F778F" w:rsidRDefault="007F778F" w:rsidP="007F778F">
      <w:pPr>
        <w:pStyle w:val="Paragrafoelenco"/>
        <w:numPr>
          <w:ilvl w:val="0"/>
          <w:numId w:val="1"/>
        </w:numPr>
        <w:jc w:val="both"/>
        <w:rPr>
          <w:rFonts w:ascii="Garamond" w:hAnsi="Garamond"/>
        </w:rPr>
      </w:pPr>
      <w:r>
        <w:rPr>
          <w:rFonts w:ascii="Garamond" w:hAnsi="Garamond"/>
        </w:rPr>
        <w:t>Qui entra in gioco l’aggettivo che è presente nel titolo, ‘ermeneutico’, dal momento che i percorsi’ dei quali si è discusso ieri possono essere letti come tracce di un unico percorso, volto alla comprensione del fenomeno del ‘riconoscimento’ in se stesso, inteso quale fenomeno che, nel corso della storia umana occupa, o dovrebbe occupare, un suo ruolo proprio, esattamente -come dice lo stesso Ricoeur, dal quale ho preso spunto per queste breve riflessioni, - come lo occupa la conoscenza, l’epistemologia, le teorie del spere scientifico e via discorrendo.</w:t>
      </w:r>
    </w:p>
    <w:p w:rsidR="007F778F" w:rsidRDefault="007F778F" w:rsidP="007F778F">
      <w:pPr>
        <w:pStyle w:val="Paragrafoelenco"/>
        <w:numPr>
          <w:ilvl w:val="0"/>
          <w:numId w:val="1"/>
        </w:numPr>
        <w:jc w:val="both"/>
        <w:rPr>
          <w:rFonts w:ascii="Garamond" w:hAnsi="Garamond"/>
        </w:rPr>
      </w:pPr>
      <w:r>
        <w:rPr>
          <w:rFonts w:ascii="Garamond" w:hAnsi="Garamond"/>
        </w:rPr>
        <w:t>Precisamente: si tratta di un percorso ermeneutico per due ordini di ragioni</w:t>
      </w:r>
    </w:p>
    <w:p w:rsidR="007F778F" w:rsidRDefault="007F778F" w:rsidP="007F778F">
      <w:pPr>
        <w:pStyle w:val="Paragrafoelenco"/>
        <w:numPr>
          <w:ilvl w:val="0"/>
          <w:numId w:val="2"/>
        </w:numPr>
        <w:jc w:val="both"/>
        <w:rPr>
          <w:rFonts w:ascii="Garamond" w:hAnsi="Garamond"/>
        </w:rPr>
      </w:pPr>
      <w:r>
        <w:rPr>
          <w:rFonts w:ascii="Garamond" w:hAnsi="Garamond"/>
        </w:rPr>
        <w:t>In primo luogo, perché segue la logica dell’ermeneutica filosofica, la quale – ricevendo la lezione husserliana – mira ad indagare le dinamiche intenzionali del soggetto umano, dinamiche che chiamano in causa essenzialmente le nozioni si ‘senso’ e ‘significato’. Una riflessione ermeneutica sul ‘</w:t>
      </w:r>
      <w:proofErr w:type="spellStart"/>
      <w:r>
        <w:rPr>
          <w:rFonts w:ascii="Garamond" w:hAnsi="Garamond"/>
        </w:rPr>
        <w:t>riconsocimento</w:t>
      </w:r>
      <w:proofErr w:type="spellEnd"/>
      <w:r>
        <w:rPr>
          <w:rFonts w:ascii="Garamond" w:hAnsi="Garamond"/>
        </w:rPr>
        <w:t>’ (nella direzione dell’ermeneutica filosofica) vuole essere una riflessione sul suo senso</w:t>
      </w:r>
      <w:r w:rsidR="004C061E">
        <w:rPr>
          <w:rFonts w:ascii="Garamond" w:hAnsi="Garamond"/>
        </w:rPr>
        <w:t xml:space="preserve"> che assume in relazione alle azioni, capacità e modalità dell’espressione umana e, non da ultima, sulle possibilità di significato che proprio le dinamiche del riconoscimento rendono possibile.</w:t>
      </w:r>
    </w:p>
    <w:p w:rsidR="004C061E" w:rsidRDefault="004C061E" w:rsidP="007F778F">
      <w:pPr>
        <w:pStyle w:val="Paragrafoelenco"/>
        <w:numPr>
          <w:ilvl w:val="0"/>
          <w:numId w:val="2"/>
        </w:numPr>
        <w:jc w:val="both"/>
        <w:rPr>
          <w:rFonts w:ascii="Garamond" w:hAnsi="Garamond"/>
        </w:rPr>
      </w:pPr>
      <w:r>
        <w:rPr>
          <w:rFonts w:ascii="Garamond" w:hAnsi="Garamond"/>
        </w:rPr>
        <w:t>In secondo luogo, una tale riflessione si rende possibile unicamente attraverso una trasformazione dell’approccio fenomenologico husserliano. La natura del senso intenzion</w:t>
      </w:r>
      <w:r w:rsidR="00983626">
        <w:rPr>
          <w:rFonts w:ascii="Garamond" w:hAnsi="Garamond"/>
        </w:rPr>
        <w:t>a</w:t>
      </w:r>
      <w:r>
        <w:rPr>
          <w:rFonts w:ascii="Garamond" w:hAnsi="Garamond"/>
        </w:rPr>
        <w:t>le non si coglie nella sua purezza ma, piuttosto, attraverso la mediazione del ‘</w:t>
      </w:r>
      <w:proofErr w:type="spellStart"/>
      <w:r>
        <w:rPr>
          <w:rFonts w:ascii="Garamond" w:hAnsi="Garamond"/>
        </w:rPr>
        <w:t>testo’</w:t>
      </w:r>
      <w:proofErr w:type="spellEnd"/>
      <w:r>
        <w:rPr>
          <w:rFonts w:ascii="Garamond" w:hAnsi="Garamond"/>
        </w:rPr>
        <w:t xml:space="preserve"> e il valore di questo ‘</w:t>
      </w:r>
      <w:proofErr w:type="spellStart"/>
      <w:r>
        <w:rPr>
          <w:rFonts w:ascii="Garamond" w:hAnsi="Garamond"/>
        </w:rPr>
        <w:t>testo’</w:t>
      </w:r>
      <w:proofErr w:type="spellEnd"/>
      <w:r>
        <w:rPr>
          <w:rFonts w:ascii="Garamond" w:hAnsi="Garamond"/>
        </w:rPr>
        <w:t xml:space="preserve"> è particolarmente ampio. Il testo può essere rappresentato dalla parola, dalla letteratura, dalla grammatica ma anche dalla storia dalla storia del pensiero, dalla natura e, come è il nostro caso specifico, dall’evoluzione del diritto nel corso del tempo. In questo senso, i percorsi di cui abbiamo parlato ieri sono ‘tracce’, discontinue e non lineari, probl</w:t>
      </w:r>
      <w:r w:rsidR="00983626">
        <w:rPr>
          <w:rFonts w:ascii="Garamond" w:hAnsi="Garamond"/>
        </w:rPr>
        <w:t>e</w:t>
      </w:r>
      <w:r>
        <w:rPr>
          <w:rFonts w:ascii="Garamond" w:hAnsi="Garamond"/>
        </w:rPr>
        <w:t>matiche e non univocamente evidenti, di un unico percorso volto a rivelare la centralità delle dinamiche del riconoscimento sul piano del diritto. E qui entra in gioco il terzo senso</w:t>
      </w:r>
    </w:p>
    <w:p w:rsidR="004C061E" w:rsidRPr="00D074C9" w:rsidRDefault="004C061E" w:rsidP="007F778F">
      <w:pPr>
        <w:pStyle w:val="Paragrafoelenco"/>
        <w:numPr>
          <w:ilvl w:val="0"/>
          <w:numId w:val="2"/>
        </w:numPr>
        <w:jc w:val="both"/>
        <w:rPr>
          <w:rFonts w:ascii="Garamond" w:hAnsi="Garamond"/>
        </w:rPr>
      </w:pPr>
      <w:r>
        <w:rPr>
          <w:rFonts w:ascii="Garamond" w:hAnsi="Garamond"/>
        </w:rPr>
        <w:t xml:space="preserve">Vale a dire, quella che </w:t>
      </w:r>
      <w:proofErr w:type="spellStart"/>
      <w:r>
        <w:rPr>
          <w:rFonts w:ascii="Garamond" w:hAnsi="Garamond"/>
        </w:rPr>
        <w:t>Gadamer</w:t>
      </w:r>
      <w:proofErr w:type="spellEnd"/>
      <w:r>
        <w:rPr>
          <w:rFonts w:ascii="Garamond" w:hAnsi="Garamond"/>
        </w:rPr>
        <w:t xml:space="preserve"> aveva definito ‘esemplarità’ dell’ermeneutica giuridica. Qui occorre tuttavia operare un distinguo. Il discorso di </w:t>
      </w:r>
      <w:proofErr w:type="spellStart"/>
      <w:r>
        <w:rPr>
          <w:rFonts w:ascii="Garamond" w:hAnsi="Garamond"/>
        </w:rPr>
        <w:t>Gadamer</w:t>
      </w:r>
      <w:proofErr w:type="spellEnd"/>
      <w:r>
        <w:rPr>
          <w:rFonts w:ascii="Garamond" w:hAnsi="Garamond"/>
        </w:rPr>
        <w:t xml:space="preserve"> mirava a mostrare come ogni forma di ermeneutica -da quella filosofica a quella teologica, etc. – contenesse una dimensione interpretativa ed una dimensione applicativo-normativo. Questo perché l’ermeneutica è una disciplina di tipo ‘pratico’, a sua volta inglobante elementi di carattere teoretico -descrittivo. A suo giudizio, qui la notissima polemica col Betti, l’esemplarità dell’ermeneutica giuridica che, applicata in senso operativo ad una qualsiasi sistema normativo, implica intrinsecamente l’indissolubilità di tale nesso. Qui vogli</w:t>
      </w:r>
      <w:r w:rsidR="00983626">
        <w:rPr>
          <w:rFonts w:ascii="Garamond" w:hAnsi="Garamond"/>
        </w:rPr>
        <w:t>o</w:t>
      </w:r>
      <w:r>
        <w:rPr>
          <w:rFonts w:ascii="Garamond" w:hAnsi="Garamond"/>
        </w:rPr>
        <w:t xml:space="preserve"> riferirmi a questa esemplarità in senso differente – ma pur sempre ad esso vicino per molti versi. E, precisamente, vogli</w:t>
      </w:r>
      <w:r w:rsidR="00983626">
        <w:rPr>
          <w:rFonts w:ascii="Garamond" w:hAnsi="Garamond"/>
        </w:rPr>
        <w:t>o</w:t>
      </w:r>
      <w:r>
        <w:rPr>
          <w:rFonts w:ascii="Garamond" w:hAnsi="Garamond"/>
        </w:rPr>
        <w:t xml:space="preserve"> suggerire come le dinamiche del riconoscimento, se individuate sul piano ‘positivo’ del diritto ci permettono di indiv</w:t>
      </w:r>
      <w:r w:rsidR="00D074C9">
        <w:rPr>
          <w:rFonts w:ascii="Garamond" w:hAnsi="Garamond"/>
        </w:rPr>
        <w:t>i</w:t>
      </w:r>
      <w:r>
        <w:rPr>
          <w:rFonts w:ascii="Garamond" w:hAnsi="Garamond"/>
        </w:rPr>
        <w:t>d</w:t>
      </w:r>
      <w:r w:rsidR="00D074C9">
        <w:rPr>
          <w:rFonts w:ascii="Garamond" w:hAnsi="Garamond"/>
        </w:rPr>
        <w:t>u</w:t>
      </w:r>
      <w:r>
        <w:rPr>
          <w:rFonts w:ascii="Garamond" w:hAnsi="Garamond"/>
        </w:rPr>
        <w:t>a</w:t>
      </w:r>
      <w:r w:rsidR="00D074C9">
        <w:rPr>
          <w:rFonts w:ascii="Garamond" w:hAnsi="Garamond"/>
        </w:rPr>
        <w:t>t</w:t>
      </w:r>
      <w:r>
        <w:rPr>
          <w:rFonts w:ascii="Garamond" w:hAnsi="Garamond"/>
        </w:rPr>
        <w:t>e come l</w:t>
      </w:r>
      <w:r w:rsidR="00D074C9">
        <w:rPr>
          <w:rFonts w:ascii="Garamond" w:hAnsi="Garamond"/>
        </w:rPr>
        <w:t>e</w:t>
      </w:r>
      <w:r>
        <w:rPr>
          <w:rFonts w:ascii="Garamond" w:hAnsi="Garamond"/>
        </w:rPr>
        <w:t xml:space="preserve"> domand</w:t>
      </w:r>
      <w:r w:rsidR="00D074C9">
        <w:rPr>
          <w:rFonts w:ascii="Garamond" w:hAnsi="Garamond"/>
        </w:rPr>
        <w:t>e</w:t>
      </w:r>
      <w:r>
        <w:rPr>
          <w:rFonts w:ascii="Garamond" w:hAnsi="Garamond"/>
        </w:rPr>
        <w:t xml:space="preserve"> di rico</w:t>
      </w:r>
      <w:r w:rsidR="00D074C9">
        <w:rPr>
          <w:rFonts w:ascii="Garamond" w:hAnsi="Garamond"/>
        </w:rPr>
        <w:t xml:space="preserve">noscimento -avanzate nelle forme esplicite o implicite – altro non rivelano che le forme di un sistema ‘responsivo’, rispetto al quale la positivizzazione e codificazione dei diritti altro non sono che l’indice ‘normativo’ di quella che Ricoeur chiama dialettica del riconoscimento e , precisamente, il passaggio dal </w:t>
      </w:r>
      <w:r w:rsidR="00D074C9">
        <w:rPr>
          <w:rFonts w:ascii="Garamond" w:hAnsi="Garamond"/>
          <w:i/>
          <w:iCs/>
        </w:rPr>
        <w:t xml:space="preserve">riconoscere </w:t>
      </w:r>
      <w:r w:rsidR="00D074C9">
        <w:rPr>
          <w:rFonts w:ascii="Garamond" w:hAnsi="Garamond"/>
        </w:rPr>
        <w:t>all’</w:t>
      </w:r>
      <w:r w:rsidR="00D074C9">
        <w:rPr>
          <w:rFonts w:ascii="Garamond" w:hAnsi="Garamond"/>
          <w:i/>
          <w:iCs/>
        </w:rPr>
        <w:t>essere rico</w:t>
      </w:r>
      <w:r w:rsidR="00A75AED">
        <w:rPr>
          <w:rFonts w:ascii="Garamond" w:hAnsi="Garamond"/>
          <w:i/>
          <w:iCs/>
        </w:rPr>
        <w:t>no</w:t>
      </w:r>
      <w:r w:rsidR="00D074C9">
        <w:rPr>
          <w:rFonts w:ascii="Garamond" w:hAnsi="Garamond"/>
          <w:i/>
          <w:iCs/>
        </w:rPr>
        <w:t xml:space="preserve">sciuti </w:t>
      </w:r>
      <w:r w:rsidR="00D074C9">
        <w:rPr>
          <w:rFonts w:ascii="Garamond" w:hAnsi="Garamond"/>
        </w:rPr>
        <w:t xml:space="preserve">passando per la forma passiva del </w:t>
      </w:r>
      <w:proofErr w:type="spellStart"/>
      <w:r w:rsidR="00D074C9">
        <w:rPr>
          <w:rFonts w:ascii="Garamond" w:hAnsi="Garamond"/>
          <w:i/>
          <w:iCs/>
        </w:rPr>
        <w:t>riconsocersi</w:t>
      </w:r>
      <w:proofErr w:type="spellEnd"/>
      <w:r w:rsidR="00D074C9">
        <w:rPr>
          <w:rFonts w:ascii="Garamond" w:hAnsi="Garamond"/>
          <w:i/>
          <w:iCs/>
        </w:rPr>
        <w:t>,</w:t>
      </w:r>
    </w:p>
    <w:p w:rsidR="00D074C9" w:rsidRDefault="00D074C9" w:rsidP="00D074C9">
      <w:pPr>
        <w:pStyle w:val="Paragrafoelenco"/>
        <w:numPr>
          <w:ilvl w:val="0"/>
          <w:numId w:val="1"/>
        </w:numPr>
        <w:jc w:val="both"/>
        <w:rPr>
          <w:rFonts w:ascii="Garamond" w:hAnsi="Garamond"/>
        </w:rPr>
      </w:pPr>
      <w:r>
        <w:rPr>
          <w:rFonts w:ascii="Garamond" w:hAnsi="Garamond"/>
        </w:rPr>
        <w:lastRenderedPageBreak/>
        <w:t>Per capire il senso di questa considerazione, che attraversa il testo che ho deciso di prendere in esame, possiamo battere il tasto su due dei tracciati indicati</w:t>
      </w:r>
      <w:r w:rsidR="00A75AED">
        <w:rPr>
          <w:rFonts w:ascii="Garamond" w:hAnsi="Garamond"/>
        </w:rPr>
        <w:t xml:space="preserve"> </w:t>
      </w:r>
      <w:r>
        <w:rPr>
          <w:rFonts w:ascii="Garamond" w:hAnsi="Garamond"/>
        </w:rPr>
        <w:t>da Ricoeur.</w:t>
      </w:r>
    </w:p>
    <w:p w:rsidR="00D074C9" w:rsidRDefault="00D074C9" w:rsidP="00D074C9">
      <w:pPr>
        <w:pStyle w:val="Paragrafoelenco"/>
        <w:numPr>
          <w:ilvl w:val="0"/>
          <w:numId w:val="3"/>
        </w:numPr>
        <w:jc w:val="both"/>
        <w:rPr>
          <w:rFonts w:ascii="Garamond" w:hAnsi="Garamond"/>
        </w:rPr>
      </w:pPr>
      <w:r>
        <w:rPr>
          <w:rFonts w:ascii="Garamond" w:hAnsi="Garamond"/>
        </w:rPr>
        <w:t>Il passaggio progressivo della parola riconoscimento da ‘riconoscere’ qualcosa o qualuno o qualcuno da qualcosa e via via attraversando il campo del riconoscere come capacità di individuare una realtà, un fenomeno e attraversando la logica legata al rico</w:t>
      </w:r>
      <w:r w:rsidR="00983626">
        <w:rPr>
          <w:rFonts w:ascii="Garamond" w:hAnsi="Garamond"/>
        </w:rPr>
        <w:t>no</w:t>
      </w:r>
      <w:r>
        <w:rPr>
          <w:rFonts w:ascii="Garamond" w:hAnsi="Garamond"/>
        </w:rPr>
        <w:t xml:space="preserve">scimento come testimonianza di qualcosa, alla riconoscenza come capacità di provare gratitudine rispetto a qualcosa che si è gratuitamente donato, rispetto al dono. Un qualcosa che dimostra gratuitamente l’atto di riconoscere l’altro aprendo le porte al desiderio di essere riconosciuti in forza di questa stessa gratuità, unica condizione per un ‘mutuo riconoscimento’. In tale prospettiva il dono presuppone il desiderio e l’attesa del riconoscimento e rappresenta la condizione – </w:t>
      </w:r>
      <w:proofErr w:type="spellStart"/>
      <w:r>
        <w:rPr>
          <w:rFonts w:ascii="Garamond" w:hAnsi="Garamond"/>
        </w:rPr>
        <w:t>pregiuridica</w:t>
      </w:r>
      <w:proofErr w:type="spellEnd"/>
      <w:r>
        <w:rPr>
          <w:rFonts w:ascii="Garamond" w:hAnsi="Garamond"/>
        </w:rPr>
        <w:t xml:space="preserve"> senz’altro – della relazione con l’alterità (qualsiasi alterità) che tuttavia richiama ad un bisogno di riconoscimento destinato a dispiegarsi positivamente nell’azione normativa stessa. Il dono di cui si parla è legato certamente alle dinamiche antropologiche studiate da Mauss ma non è certamente estraneo al dono che riceviamo dalla natura o all’aspettativa che nutriamo verso le future generazioni o, ancora, alle dinami</w:t>
      </w:r>
      <w:r w:rsidR="00A75AED">
        <w:rPr>
          <w:rFonts w:ascii="Garamond" w:hAnsi="Garamond"/>
        </w:rPr>
        <w:t>c</w:t>
      </w:r>
      <w:r>
        <w:rPr>
          <w:rFonts w:ascii="Garamond" w:hAnsi="Garamond"/>
        </w:rPr>
        <w:t>he co</w:t>
      </w:r>
      <w:r w:rsidR="00A75AED">
        <w:rPr>
          <w:rFonts w:ascii="Garamond" w:hAnsi="Garamond"/>
        </w:rPr>
        <w:t>s</w:t>
      </w:r>
      <w:r>
        <w:rPr>
          <w:rFonts w:ascii="Garamond" w:hAnsi="Garamond"/>
        </w:rPr>
        <w:t>tit</w:t>
      </w:r>
      <w:r w:rsidR="00A75AED">
        <w:rPr>
          <w:rFonts w:ascii="Garamond" w:hAnsi="Garamond"/>
        </w:rPr>
        <w:t>ut</w:t>
      </w:r>
      <w:r>
        <w:rPr>
          <w:rFonts w:ascii="Garamond" w:hAnsi="Garamond"/>
        </w:rPr>
        <w:t>i</w:t>
      </w:r>
      <w:r w:rsidR="00A75AED">
        <w:rPr>
          <w:rFonts w:ascii="Garamond" w:hAnsi="Garamond"/>
        </w:rPr>
        <w:t>v</w:t>
      </w:r>
      <w:r>
        <w:rPr>
          <w:rFonts w:ascii="Garamond" w:hAnsi="Garamond"/>
        </w:rPr>
        <w:t>e della relazione con l</w:t>
      </w:r>
      <w:r w:rsidR="00A75AED">
        <w:rPr>
          <w:rFonts w:ascii="Garamond" w:hAnsi="Garamond"/>
        </w:rPr>
        <w:t>’a</w:t>
      </w:r>
      <w:r>
        <w:rPr>
          <w:rFonts w:ascii="Garamond" w:hAnsi="Garamond"/>
        </w:rPr>
        <w:t>l</w:t>
      </w:r>
      <w:r w:rsidR="00A75AED">
        <w:rPr>
          <w:rFonts w:ascii="Garamond" w:hAnsi="Garamond"/>
        </w:rPr>
        <w:t>t</w:t>
      </w:r>
      <w:r>
        <w:rPr>
          <w:rFonts w:ascii="Garamond" w:hAnsi="Garamond"/>
        </w:rPr>
        <w:t xml:space="preserve">erità. </w:t>
      </w:r>
      <w:r w:rsidR="00A75AED">
        <w:rPr>
          <w:rFonts w:ascii="Garamond" w:hAnsi="Garamond"/>
        </w:rPr>
        <w:t xml:space="preserve">Il passaggio dal riconoscere all’essere riconosciuti si fonde così con la natura </w:t>
      </w:r>
      <w:r w:rsidR="00A75AED" w:rsidRPr="00983626">
        <w:rPr>
          <w:rFonts w:ascii="Garamond" w:hAnsi="Garamond"/>
          <w:i/>
          <w:iCs/>
        </w:rPr>
        <w:t>responsiva</w:t>
      </w:r>
      <w:r w:rsidR="00A75AED">
        <w:rPr>
          <w:rFonts w:ascii="Garamond" w:hAnsi="Garamond"/>
        </w:rPr>
        <w:t xml:space="preserve"> del diritto.</w:t>
      </w:r>
    </w:p>
    <w:p w:rsidR="00A75AED" w:rsidRPr="00D074C9" w:rsidRDefault="00A75AED" w:rsidP="00D074C9">
      <w:pPr>
        <w:pStyle w:val="Paragrafoelenco"/>
        <w:numPr>
          <w:ilvl w:val="0"/>
          <w:numId w:val="3"/>
        </w:numPr>
        <w:jc w:val="both"/>
        <w:rPr>
          <w:rFonts w:ascii="Garamond" w:hAnsi="Garamond"/>
        </w:rPr>
      </w:pPr>
      <w:r>
        <w:rPr>
          <w:rFonts w:ascii="Garamond" w:hAnsi="Garamond"/>
        </w:rPr>
        <w:t xml:space="preserve">Il passaggio dall’Io al sé che, attraversando il superamento della logica della rappresentazione propria della filosofia -e del diritto moderno -mostra come la stessa relazione con </w:t>
      </w:r>
      <w:proofErr w:type="gramStart"/>
      <w:r>
        <w:rPr>
          <w:rFonts w:ascii="Garamond" w:hAnsi="Garamond"/>
        </w:rPr>
        <w:t>se</w:t>
      </w:r>
      <w:proofErr w:type="gramEnd"/>
      <w:r>
        <w:rPr>
          <w:rFonts w:ascii="Garamond" w:hAnsi="Garamond"/>
        </w:rPr>
        <w:t xml:space="preserve"> stessi sia mediata dalla relazione con una alterità. Questa alterità -che siamo noi -prende forma nelle dinamiche relazionali e storiche con quell’alterità che sono gli altri -il sé degli altri e, questo l’elemento essenziale, attraversa e fonda la capacità di un reciproco riconoscimento realizzato attraverso il medium della comunicazione, della parola e non da ultimo -quale punto di arrivo -nella formulazione di regole e norme volte a regolare giuridicamente i</w:t>
      </w:r>
      <w:r w:rsidR="00983626">
        <w:rPr>
          <w:rFonts w:ascii="Garamond" w:hAnsi="Garamond"/>
        </w:rPr>
        <w:t>l</w:t>
      </w:r>
      <w:r>
        <w:rPr>
          <w:rFonts w:ascii="Garamond" w:hAnsi="Garamond"/>
        </w:rPr>
        <w:t xml:space="preserve"> rapporto tra uomini, natura, mondo presente mondo futuro</w:t>
      </w:r>
      <w:r w:rsidR="00983626">
        <w:rPr>
          <w:rFonts w:ascii="Garamond" w:hAnsi="Garamond"/>
        </w:rPr>
        <w:t>. I</w:t>
      </w:r>
      <w:r>
        <w:rPr>
          <w:rFonts w:ascii="Garamond" w:hAnsi="Garamond"/>
        </w:rPr>
        <w:t>l ‘</w:t>
      </w:r>
      <w:proofErr w:type="spellStart"/>
      <w:r>
        <w:rPr>
          <w:rFonts w:ascii="Garamond" w:hAnsi="Garamond"/>
        </w:rPr>
        <w:t>fondo’</w:t>
      </w:r>
      <w:proofErr w:type="spellEnd"/>
      <w:r>
        <w:rPr>
          <w:rFonts w:ascii="Garamond" w:hAnsi="Garamond"/>
        </w:rPr>
        <w:t xml:space="preserve"> del diritto rivela così la profondità di dinamiche che, seppur </w:t>
      </w:r>
      <w:proofErr w:type="spellStart"/>
      <w:r>
        <w:rPr>
          <w:rFonts w:ascii="Garamond" w:hAnsi="Garamond"/>
        </w:rPr>
        <w:t>pre</w:t>
      </w:r>
      <w:proofErr w:type="spellEnd"/>
      <w:r>
        <w:rPr>
          <w:rFonts w:ascii="Garamond" w:hAnsi="Garamond"/>
        </w:rPr>
        <w:t>-giuridiche -rimandano ad una risposta giuridica e operativa che resta nostro compito fornite.</w:t>
      </w:r>
    </w:p>
    <w:sectPr w:rsidR="00A75AED" w:rsidRPr="00D074C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33AB5"/>
    <w:multiLevelType w:val="hybridMultilevel"/>
    <w:tmpl w:val="68CAA47E"/>
    <w:lvl w:ilvl="0" w:tplc="A5042D2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77D15EBF"/>
    <w:multiLevelType w:val="hybridMultilevel"/>
    <w:tmpl w:val="480AF3B6"/>
    <w:lvl w:ilvl="0" w:tplc="028E7BE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7EA5523C"/>
    <w:multiLevelType w:val="hybridMultilevel"/>
    <w:tmpl w:val="ED86D476"/>
    <w:lvl w:ilvl="0" w:tplc="7262ACCE">
      <w:start w:val="1"/>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16947579">
    <w:abstractNumId w:val="2"/>
  </w:num>
  <w:num w:numId="2" w16cid:durableId="1855536234">
    <w:abstractNumId w:val="1"/>
  </w:num>
  <w:num w:numId="3" w16cid:durableId="561520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78F"/>
    <w:rsid w:val="000A1A08"/>
    <w:rsid w:val="000F044B"/>
    <w:rsid w:val="001B0AA0"/>
    <w:rsid w:val="00231258"/>
    <w:rsid w:val="00267E16"/>
    <w:rsid w:val="004C061E"/>
    <w:rsid w:val="007F778F"/>
    <w:rsid w:val="00983626"/>
    <w:rsid w:val="00A75AED"/>
    <w:rsid w:val="00D074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A4D39E4"/>
  <w15:chartTrackingRefBased/>
  <w15:docId w15:val="{DB3076F3-1F6B-9849-8846-56217111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F77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F77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F778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F778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F778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F778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F778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F778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F778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F778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7F778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F778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7F778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7F778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7F778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F778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F778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F778F"/>
    <w:rPr>
      <w:rFonts w:eastAsiaTheme="majorEastAsia" w:cstheme="majorBidi"/>
      <w:color w:val="272727" w:themeColor="text1" w:themeTint="D8"/>
    </w:rPr>
  </w:style>
  <w:style w:type="paragraph" w:styleId="Titolo">
    <w:name w:val="Title"/>
    <w:basedOn w:val="Normale"/>
    <w:next w:val="Normale"/>
    <w:link w:val="TitoloCarattere"/>
    <w:uiPriority w:val="10"/>
    <w:qFormat/>
    <w:rsid w:val="007F778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F778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F778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F778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F778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F778F"/>
    <w:rPr>
      <w:i/>
      <w:iCs/>
      <w:color w:val="404040" w:themeColor="text1" w:themeTint="BF"/>
    </w:rPr>
  </w:style>
  <w:style w:type="paragraph" w:styleId="Paragrafoelenco">
    <w:name w:val="List Paragraph"/>
    <w:basedOn w:val="Normale"/>
    <w:uiPriority w:val="34"/>
    <w:qFormat/>
    <w:rsid w:val="007F778F"/>
    <w:pPr>
      <w:ind w:left="720"/>
      <w:contextualSpacing/>
    </w:pPr>
  </w:style>
  <w:style w:type="character" w:styleId="Enfasiintensa">
    <w:name w:val="Intense Emphasis"/>
    <w:basedOn w:val="Carpredefinitoparagrafo"/>
    <w:uiPriority w:val="21"/>
    <w:qFormat/>
    <w:rsid w:val="007F778F"/>
    <w:rPr>
      <w:i/>
      <w:iCs/>
      <w:color w:val="2F5496" w:themeColor="accent1" w:themeShade="BF"/>
    </w:rPr>
  </w:style>
  <w:style w:type="paragraph" w:styleId="Citazioneintensa">
    <w:name w:val="Intense Quote"/>
    <w:basedOn w:val="Normale"/>
    <w:next w:val="Normale"/>
    <w:link w:val="CitazioneintensaCarattere"/>
    <w:uiPriority w:val="30"/>
    <w:qFormat/>
    <w:rsid w:val="007F77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F778F"/>
    <w:rPr>
      <w:i/>
      <w:iCs/>
      <w:color w:val="2F5496" w:themeColor="accent1" w:themeShade="BF"/>
    </w:rPr>
  </w:style>
  <w:style w:type="character" w:styleId="Riferimentointenso">
    <w:name w:val="Intense Reference"/>
    <w:basedOn w:val="Carpredefinitoparagrafo"/>
    <w:uiPriority w:val="32"/>
    <w:qFormat/>
    <w:rsid w:val="007F77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959</Words>
  <Characters>5472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Piero Marino</dc:creator>
  <cp:keywords/>
  <dc:description/>
  <cp:lastModifiedBy>Piero Marino</cp:lastModifiedBy>
  <cp:revision>2</cp:revision>
  <dcterms:created xsi:type="dcterms:W3CDTF">2026-03-11T09:48:00Z</dcterms:created>
  <dcterms:modified xsi:type="dcterms:W3CDTF">2026-03-11T22:50:00Z</dcterms:modified>
</cp:coreProperties>
</file>