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7501" w:rsidRPr="001E646B" w:rsidRDefault="002F0554" w:rsidP="00996EF8">
      <w:pPr>
        <w:jc w:val="both"/>
        <w:rPr>
          <w:rFonts w:ascii="Times New Roman" w:hAnsi="Times New Roman" w:cs="Times New Roman"/>
          <w:sz w:val="28"/>
          <w:szCs w:val="28"/>
        </w:rPr>
      </w:pPr>
      <w:r>
        <w:rPr>
          <w:rFonts w:ascii="Times New Roman" w:hAnsi="Times New Roman" w:cs="Times New Roman"/>
          <w:b/>
          <w:sz w:val="28"/>
          <w:szCs w:val="28"/>
        </w:rPr>
        <w:t>Art. 565</w:t>
      </w:r>
    </w:p>
    <w:p w:rsidR="00996EF8" w:rsidRDefault="002746C0" w:rsidP="002C1DAC">
      <w:pPr>
        <w:spacing w:after="0" w:line="240" w:lineRule="auto"/>
        <w:jc w:val="both"/>
        <w:rPr>
          <w:rFonts w:ascii="Times New Roman" w:hAnsi="Times New Roman" w:cs="Times New Roman"/>
          <w:sz w:val="28"/>
          <w:szCs w:val="28"/>
        </w:rPr>
      </w:pPr>
      <w:r>
        <w:rPr>
          <w:rFonts w:ascii="Times New Roman" w:hAnsi="Times New Roman" w:cs="Times New Roman"/>
          <w:sz w:val="28"/>
          <w:szCs w:val="28"/>
        </w:rPr>
        <w:t>La norma</w:t>
      </w:r>
      <w:r w:rsidR="00B143B2">
        <w:rPr>
          <w:rFonts w:ascii="Times New Roman" w:hAnsi="Times New Roman" w:cs="Times New Roman"/>
          <w:sz w:val="28"/>
          <w:szCs w:val="28"/>
        </w:rPr>
        <w:t>, che deve coordinarsi con gli</w:t>
      </w:r>
      <w:r w:rsidR="002C1DAC">
        <w:rPr>
          <w:rFonts w:ascii="Times New Roman" w:hAnsi="Times New Roman" w:cs="Times New Roman"/>
          <w:sz w:val="28"/>
          <w:szCs w:val="28"/>
        </w:rPr>
        <w:t xml:space="preserve"> art. 564 e 566, riguarda solo </w:t>
      </w:r>
      <w:r w:rsidR="002C1DAC" w:rsidRPr="00B143B2">
        <w:rPr>
          <w:rFonts w:ascii="Times New Roman" w:hAnsi="Times New Roman" w:cs="Times New Roman"/>
          <w:b/>
          <w:sz w:val="28"/>
          <w:szCs w:val="28"/>
        </w:rPr>
        <w:t>i creditori chirografari</w:t>
      </w:r>
      <w:r w:rsidR="002C1DAC">
        <w:rPr>
          <w:rFonts w:ascii="Times New Roman" w:hAnsi="Times New Roman" w:cs="Times New Roman"/>
          <w:sz w:val="28"/>
          <w:szCs w:val="28"/>
        </w:rPr>
        <w:t xml:space="preserve"> che intervengono dopo l</w:t>
      </w:r>
      <w:r w:rsidR="00B143B2">
        <w:rPr>
          <w:rFonts w:ascii="Times New Roman" w:hAnsi="Times New Roman" w:cs="Times New Roman"/>
          <w:sz w:val="28"/>
          <w:szCs w:val="28"/>
        </w:rPr>
        <w:t>’</w:t>
      </w:r>
      <w:r w:rsidR="002C1DAC">
        <w:rPr>
          <w:rFonts w:ascii="Times New Roman" w:hAnsi="Times New Roman" w:cs="Times New Roman"/>
          <w:sz w:val="28"/>
          <w:szCs w:val="28"/>
        </w:rPr>
        <w:t>udienza di assegnazione o vendita ma prima di quella fissata per l</w:t>
      </w:r>
      <w:r w:rsidR="00B143B2">
        <w:rPr>
          <w:rFonts w:ascii="Times New Roman" w:hAnsi="Times New Roman" w:cs="Times New Roman"/>
          <w:sz w:val="28"/>
          <w:szCs w:val="28"/>
        </w:rPr>
        <w:t>’</w:t>
      </w:r>
      <w:r w:rsidR="002C1DAC">
        <w:rPr>
          <w:rFonts w:ascii="Times New Roman" w:hAnsi="Times New Roman" w:cs="Times New Roman"/>
          <w:sz w:val="28"/>
          <w:szCs w:val="28"/>
        </w:rPr>
        <w:t>approvazione del progetto di distribuzione e trova un precedente nella analoga disciplina dettata per l</w:t>
      </w:r>
      <w:r w:rsidR="00B143B2">
        <w:rPr>
          <w:rFonts w:ascii="Times New Roman" w:hAnsi="Times New Roman" w:cs="Times New Roman"/>
          <w:sz w:val="28"/>
          <w:szCs w:val="28"/>
        </w:rPr>
        <w:t>’</w:t>
      </w:r>
      <w:r w:rsidR="002C1DAC">
        <w:rPr>
          <w:rFonts w:ascii="Times New Roman" w:hAnsi="Times New Roman" w:cs="Times New Roman"/>
          <w:sz w:val="28"/>
          <w:szCs w:val="28"/>
        </w:rPr>
        <w:t>espropriaz</w:t>
      </w:r>
      <w:r w:rsidR="00B143B2">
        <w:rPr>
          <w:rFonts w:ascii="Times New Roman" w:hAnsi="Times New Roman" w:cs="Times New Roman"/>
          <w:sz w:val="28"/>
          <w:szCs w:val="28"/>
        </w:rPr>
        <w:t>ione mobiliare dall’</w:t>
      </w:r>
      <w:r w:rsidR="002C1DAC">
        <w:rPr>
          <w:rFonts w:ascii="Times New Roman" w:hAnsi="Times New Roman" w:cs="Times New Roman"/>
          <w:sz w:val="28"/>
          <w:szCs w:val="28"/>
        </w:rPr>
        <w:t>art. 528.</w:t>
      </w:r>
    </w:p>
    <w:p w:rsidR="002C1DAC" w:rsidRDefault="002C1DAC" w:rsidP="002C1DAC">
      <w:pPr>
        <w:spacing w:after="0" w:line="240" w:lineRule="auto"/>
        <w:jc w:val="both"/>
        <w:rPr>
          <w:rFonts w:ascii="Times New Roman" w:hAnsi="Times New Roman" w:cs="Times New Roman"/>
          <w:sz w:val="28"/>
          <w:szCs w:val="28"/>
        </w:rPr>
      </w:pPr>
      <w:r>
        <w:rPr>
          <w:rFonts w:ascii="Times New Roman" w:hAnsi="Times New Roman" w:cs="Times New Roman"/>
          <w:sz w:val="28"/>
          <w:szCs w:val="28"/>
        </w:rPr>
        <w:t>Si ritiene prevalente in dottrina l</w:t>
      </w:r>
      <w:r w:rsidR="00B143B2">
        <w:rPr>
          <w:rFonts w:ascii="Times New Roman" w:hAnsi="Times New Roman" w:cs="Times New Roman"/>
          <w:sz w:val="28"/>
          <w:szCs w:val="28"/>
        </w:rPr>
        <w:t>’</w:t>
      </w:r>
      <w:r>
        <w:rPr>
          <w:rFonts w:ascii="Times New Roman" w:hAnsi="Times New Roman" w:cs="Times New Roman"/>
          <w:sz w:val="28"/>
          <w:szCs w:val="28"/>
        </w:rPr>
        <w:t xml:space="preserve">opinione che </w:t>
      </w:r>
      <w:r w:rsidRPr="002C1DAC">
        <w:rPr>
          <w:rFonts w:ascii="Times New Roman" w:hAnsi="Times New Roman" w:cs="Times New Roman"/>
          <w:sz w:val="28"/>
          <w:szCs w:val="28"/>
        </w:rPr>
        <w:t>consente l</w:t>
      </w:r>
      <w:r w:rsidR="00B143B2">
        <w:rPr>
          <w:rFonts w:ascii="Times New Roman" w:hAnsi="Times New Roman" w:cs="Times New Roman"/>
          <w:sz w:val="28"/>
          <w:szCs w:val="28"/>
        </w:rPr>
        <w:t>’</w:t>
      </w:r>
      <w:r w:rsidRPr="002C1DAC">
        <w:rPr>
          <w:rFonts w:ascii="Times New Roman" w:hAnsi="Times New Roman" w:cs="Times New Roman"/>
          <w:sz w:val="28"/>
          <w:szCs w:val="28"/>
        </w:rPr>
        <w:t>intervento tardivo anche dei creditori senza titolo, nonostante l</w:t>
      </w:r>
      <w:r w:rsidR="00B143B2">
        <w:rPr>
          <w:rFonts w:ascii="Times New Roman" w:hAnsi="Times New Roman" w:cs="Times New Roman"/>
          <w:sz w:val="28"/>
          <w:szCs w:val="28"/>
        </w:rPr>
        <w:t>’art. 499</w:t>
      </w:r>
      <w:r>
        <w:rPr>
          <w:rFonts w:ascii="Times New Roman" w:hAnsi="Times New Roman" w:cs="Times New Roman"/>
          <w:sz w:val="28"/>
          <w:szCs w:val="28"/>
        </w:rPr>
        <w:t xml:space="preserve"> </w:t>
      </w:r>
      <w:r w:rsidRPr="002C1DAC">
        <w:rPr>
          <w:rFonts w:ascii="Times New Roman" w:hAnsi="Times New Roman" w:cs="Times New Roman"/>
          <w:sz w:val="28"/>
          <w:szCs w:val="28"/>
        </w:rPr>
        <w:t>co.</w:t>
      </w:r>
      <w:r>
        <w:rPr>
          <w:rFonts w:ascii="Times New Roman" w:hAnsi="Times New Roman" w:cs="Times New Roman"/>
          <w:sz w:val="28"/>
          <w:szCs w:val="28"/>
        </w:rPr>
        <w:t xml:space="preserve"> 2</w:t>
      </w:r>
      <w:r w:rsidRPr="002C1DAC">
        <w:rPr>
          <w:rFonts w:ascii="Times New Roman" w:hAnsi="Times New Roman" w:cs="Times New Roman"/>
          <w:sz w:val="28"/>
          <w:szCs w:val="28"/>
        </w:rPr>
        <w:t>, statuisca che il ricorso per intervento deve essere depositato «prima che sia tenuta l</w:t>
      </w:r>
      <w:r w:rsidR="00B143B2">
        <w:rPr>
          <w:rFonts w:ascii="Times New Roman" w:hAnsi="Times New Roman" w:cs="Times New Roman"/>
          <w:sz w:val="28"/>
          <w:szCs w:val="28"/>
        </w:rPr>
        <w:t>’</w:t>
      </w:r>
      <w:r w:rsidRPr="002C1DAC">
        <w:rPr>
          <w:rFonts w:ascii="Times New Roman" w:hAnsi="Times New Roman" w:cs="Times New Roman"/>
          <w:sz w:val="28"/>
          <w:szCs w:val="28"/>
        </w:rPr>
        <w:t>udienza in cui è disposta la vendita o l</w:t>
      </w:r>
      <w:r w:rsidR="00B143B2">
        <w:rPr>
          <w:rFonts w:ascii="Times New Roman" w:hAnsi="Times New Roman" w:cs="Times New Roman"/>
          <w:sz w:val="28"/>
          <w:szCs w:val="28"/>
        </w:rPr>
        <w:t>’</w:t>
      </w:r>
      <w:r w:rsidRPr="002C1DAC">
        <w:rPr>
          <w:rFonts w:ascii="Times New Roman" w:hAnsi="Times New Roman" w:cs="Times New Roman"/>
          <w:sz w:val="28"/>
          <w:szCs w:val="28"/>
        </w:rPr>
        <w:t>assegnazione ai sensi degli articoli 530, 552 e 569»</w:t>
      </w:r>
      <w:r>
        <w:rPr>
          <w:rFonts w:ascii="Times New Roman" w:hAnsi="Times New Roman" w:cs="Times New Roman"/>
          <w:sz w:val="28"/>
          <w:szCs w:val="28"/>
        </w:rPr>
        <w:t>.</w:t>
      </w:r>
      <w:r w:rsidR="0096748D">
        <w:rPr>
          <w:rFonts w:ascii="Times New Roman" w:hAnsi="Times New Roman" w:cs="Times New Roman"/>
          <w:sz w:val="28"/>
          <w:szCs w:val="28"/>
        </w:rPr>
        <w:t xml:space="preserve"> </w:t>
      </w:r>
      <w:r w:rsidR="0096748D" w:rsidRPr="009C192E">
        <w:rPr>
          <w:rFonts w:ascii="Times New Roman" w:hAnsi="Times New Roman" w:cs="Times New Roman"/>
          <w:sz w:val="28"/>
          <w:szCs w:val="28"/>
          <w:highlight w:val="yellow"/>
        </w:rPr>
        <w:t xml:space="preserve">Se non è preclusa ai creditori non titolati la possibilità di intervenire oltre la barriera desumibile dal combinato disposto degli artt. 499 e 565 </w:t>
      </w:r>
      <w:proofErr w:type="spellStart"/>
      <w:r w:rsidR="0096748D" w:rsidRPr="009C192E">
        <w:rPr>
          <w:rFonts w:ascii="Times New Roman" w:hAnsi="Times New Roman" w:cs="Times New Roman"/>
          <w:sz w:val="28"/>
          <w:szCs w:val="28"/>
          <w:highlight w:val="yellow"/>
        </w:rPr>
        <w:t>c.p.c.</w:t>
      </w:r>
      <w:proofErr w:type="spellEnd"/>
      <w:r w:rsidR="0096748D" w:rsidRPr="009C192E">
        <w:rPr>
          <w:rFonts w:ascii="Times New Roman" w:hAnsi="Times New Roman" w:cs="Times New Roman"/>
          <w:sz w:val="28"/>
          <w:szCs w:val="28"/>
          <w:highlight w:val="yellow"/>
        </w:rPr>
        <w:t>, è però chiaro che il creditore non munito di titolo esecutivo perde la facoltà di avvalersi del meccanismo del riconoscimento del credito, per cui il credito per il quale ha avuto luogo l’intervento si intenderà automaticamente disconosciuto; ciò per evitare un rallentamento dei tempi per le attività di riconoscimento o contestazione dei crediti da parte del creditore. In buona sostanza, da un lato non ci sono ragioni per precludere l’intervento tardivo ai creditori non titolati</w:t>
      </w:r>
      <w:r w:rsidR="00A65371" w:rsidRPr="009C192E">
        <w:rPr>
          <w:rFonts w:ascii="Times New Roman" w:hAnsi="Times New Roman" w:cs="Times New Roman"/>
          <w:sz w:val="28"/>
          <w:szCs w:val="28"/>
          <w:highlight w:val="yellow"/>
        </w:rPr>
        <w:t xml:space="preserve">, visto che l’art. 565 parla di creditori chirografari; dall’altro, l’impossibilità di attivare il meccanismo di verifica previsto all’art. 499 co. 5° e 6°, per essere intervenuti dopo l’udienza di comparizione, impone di ritenere il </w:t>
      </w:r>
      <w:r w:rsidR="00A65371" w:rsidRPr="005F36F0">
        <w:rPr>
          <w:rFonts w:ascii="Times New Roman" w:hAnsi="Times New Roman" w:cs="Times New Roman"/>
          <w:b/>
          <w:sz w:val="28"/>
          <w:szCs w:val="28"/>
          <w:highlight w:val="yellow"/>
        </w:rPr>
        <w:t>credito disconosciuto</w:t>
      </w:r>
      <w:r w:rsidR="005F36F0">
        <w:rPr>
          <w:rFonts w:ascii="Times New Roman" w:hAnsi="Times New Roman" w:cs="Times New Roman"/>
          <w:sz w:val="28"/>
          <w:szCs w:val="28"/>
          <w:highlight w:val="yellow"/>
        </w:rPr>
        <w:t>,</w:t>
      </w:r>
      <w:r w:rsidR="00A65371" w:rsidRPr="009C192E">
        <w:rPr>
          <w:rFonts w:ascii="Times New Roman" w:hAnsi="Times New Roman" w:cs="Times New Roman"/>
          <w:sz w:val="28"/>
          <w:szCs w:val="28"/>
          <w:highlight w:val="yellow"/>
        </w:rPr>
        <w:t xml:space="preserve"> perché la fissazione di una ulteriore udienza di verifica determinerebbe un allungamento dei tempi della procedura, oltre che un trattamento privilegiato per il creditore tardivo che il legislatore non ha previsto.</w:t>
      </w:r>
      <w:r w:rsidR="009C192E" w:rsidRPr="009C192E">
        <w:rPr>
          <w:rFonts w:ascii="Times New Roman" w:hAnsi="Times New Roman" w:cs="Times New Roman"/>
          <w:sz w:val="28"/>
          <w:szCs w:val="28"/>
          <w:highlight w:val="yellow"/>
        </w:rPr>
        <w:t xml:space="preserve"> Il disconoscimento del credito non preclude il diritto di ottenere l’accantonamento di cui all’art. 510 co. 3°, con la precisazione che non avendo l’</w:t>
      </w:r>
      <w:proofErr w:type="spellStart"/>
      <w:r w:rsidR="009C192E" w:rsidRPr="009C192E">
        <w:rPr>
          <w:rFonts w:ascii="Times New Roman" w:hAnsi="Times New Roman" w:cs="Times New Roman"/>
          <w:sz w:val="28"/>
          <w:szCs w:val="28"/>
          <w:highlight w:val="yellow"/>
        </w:rPr>
        <w:t>interventore</w:t>
      </w:r>
      <w:proofErr w:type="spellEnd"/>
      <w:r w:rsidR="009C192E" w:rsidRPr="009C192E">
        <w:rPr>
          <w:rFonts w:ascii="Times New Roman" w:hAnsi="Times New Roman" w:cs="Times New Roman"/>
          <w:sz w:val="28"/>
          <w:szCs w:val="28"/>
          <w:highlight w:val="yellow"/>
        </w:rPr>
        <w:t xml:space="preserve"> partecipato all’udienza di verifica, il termine per promuovere l’azione volta ad ottenere il titolo esecutivo decorre dalla data di deposito dell’atto di intervento.</w:t>
      </w:r>
      <w:r w:rsidR="00A65371">
        <w:rPr>
          <w:rFonts w:ascii="Times New Roman" w:hAnsi="Times New Roman" w:cs="Times New Roman"/>
          <w:sz w:val="28"/>
          <w:szCs w:val="28"/>
        </w:rPr>
        <w:t xml:space="preserve"> </w:t>
      </w:r>
      <w:r w:rsidR="0096748D">
        <w:rPr>
          <w:rFonts w:ascii="Times New Roman" w:hAnsi="Times New Roman" w:cs="Times New Roman"/>
          <w:sz w:val="28"/>
          <w:szCs w:val="28"/>
        </w:rPr>
        <w:t xml:space="preserve"> </w:t>
      </w:r>
    </w:p>
    <w:p w:rsidR="002C1DAC" w:rsidRDefault="002C1DAC" w:rsidP="002C1DAC">
      <w:pPr>
        <w:spacing w:after="0" w:line="240" w:lineRule="auto"/>
        <w:jc w:val="both"/>
        <w:rPr>
          <w:rFonts w:ascii="Times New Roman" w:hAnsi="Times New Roman" w:cs="Times New Roman"/>
          <w:sz w:val="28"/>
          <w:szCs w:val="28"/>
        </w:rPr>
      </w:pPr>
      <w:r>
        <w:rPr>
          <w:rFonts w:ascii="Times New Roman" w:hAnsi="Times New Roman" w:cs="Times New Roman"/>
          <w:sz w:val="28"/>
          <w:szCs w:val="28"/>
        </w:rPr>
        <w:t>N</w:t>
      </w:r>
      <w:r w:rsidRPr="002C1DAC">
        <w:rPr>
          <w:rFonts w:ascii="Times New Roman" w:hAnsi="Times New Roman" w:cs="Times New Roman"/>
          <w:sz w:val="28"/>
          <w:szCs w:val="28"/>
        </w:rPr>
        <w:t xml:space="preserve">el </w:t>
      </w:r>
      <w:r>
        <w:rPr>
          <w:rFonts w:ascii="Times New Roman" w:hAnsi="Times New Roman" w:cs="Times New Roman"/>
          <w:sz w:val="28"/>
          <w:szCs w:val="28"/>
        </w:rPr>
        <w:t xml:space="preserve">processo esecutivo è </w:t>
      </w:r>
      <w:r w:rsidRPr="00B143B2">
        <w:rPr>
          <w:rFonts w:ascii="Times New Roman" w:hAnsi="Times New Roman" w:cs="Times New Roman"/>
          <w:b/>
          <w:sz w:val="28"/>
          <w:szCs w:val="28"/>
        </w:rPr>
        <w:t>precluso</w:t>
      </w:r>
      <w:r>
        <w:rPr>
          <w:rFonts w:ascii="Times New Roman" w:hAnsi="Times New Roman" w:cs="Times New Roman"/>
          <w:sz w:val="28"/>
          <w:szCs w:val="28"/>
        </w:rPr>
        <w:t xml:space="preserve"> </w:t>
      </w:r>
      <w:r w:rsidRPr="00B143B2">
        <w:rPr>
          <w:rFonts w:ascii="Times New Roman" w:hAnsi="Times New Roman" w:cs="Times New Roman"/>
          <w:b/>
          <w:sz w:val="28"/>
          <w:szCs w:val="28"/>
        </w:rPr>
        <w:t>l</w:t>
      </w:r>
      <w:r w:rsidR="00B143B2" w:rsidRPr="00B143B2">
        <w:rPr>
          <w:rFonts w:ascii="Times New Roman" w:hAnsi="Times New Roman" w:cs="Times New Roman"/>
          <w:b/>
          <w:sz w:val="28"/>
          <w:szCs w:val="28"/>
        </w:rPr>
        <w:t>’</w:t>
      </w:r>
      <w:r w:rsidRPr="00B143B2">
        <w:rPr>
          <w:rFonts w:ascii="Times New Roman" w:hAnsi="Times New Roman" w:cs="Times New Roman"/>
          <w:b/>
          <w:sz w:val="28"/>
          <w:szCs w:val="28"/>
        </w:rPr>
        <w:t>intervento ai creditori,</w:t>
      </w:r>
      <w:r w:rsidRPr="002C1DAC">
        <w:rPr>
          <w:rFonts w:ascii="Times New Roman" w:hAnsi="Times New Roman" w:cs="Times New Roman"/>
          <w:sz w:val="28"/>
          <w:szCs w:val="28"/>
        </w:rPr>
        <w:t xml:space="preserve"> seppure privilegiati, </w:t>
      </w:r>
      <w:r w:rsidRPr="00B143B2">
        <w:rPr>
          <w:rFonts w:ascii="Times New Roman" w:hAnsi="Times New Roman" w:cs="Times New Roman"/>
          <w:b/>
          <w:sz w:val="28"/>
          <w:szCs w:val="28"/>
        </w:rPr>
        <w:t>durante e dopo la celebrazione dell</w:t>
      </w:r>
      <w:r w:rsidR="00B143B2" w:rsidRPr="00B143B2">
        <w:rPr>
          <w:rFonts w:ascii="Times New Roman" w:hAnsi="Times New Roman" w:cs="Times New Roman"/>
          <w:b/>
          <w:sz w:val="28"/>
          <w:szCs w:val="28"/>
        </w:rPr>
        <w:t>’</w:t>
      </w:r>
      <w:r w:rsidRPr="00B143B2">
        <w:rPr>
          <w:rFonts w:ascii="Times New Roman" w:hAnsi="Times New Roman" w:cs="Times New Roman"/>
          <w:b/>
          <w:sz w:val="28"/>
          <w:szCs w:val="28"/>
        </w:rPr>
        <w:t>udienza di discussione del progetto di distribuzione</w:t>
      </w:r>
      <w:r w:rsidRPr="002C1DAC">
        <w:rPr>
          <w:rFonts w:ascii="Times New Roman" w:hAnsi="Times New Roman" w:cs="Times New Roman"/>
          <w:sz w:val="28"/>
          <w:szCs w:val="28"/>
        </w:rPr>
        <w:t xml:space="preserve"> del ricavato della vendita, di cui all</w:t>
      </w:r>
      <w:r w:rsidR="00B143B2">
        <w:rPr>
          <w:rFonts w:ascii="Times New Roman" w:hAnsi="Times New Roman" w:cs="Times New Roman"/>
          <w:sz w:val="28"/>
          <w:szCs w:val="28"/>
        </w:rPr>
        <w:t>’</w:t>
      </w:r>
      <w:r w:rsidRPr="002C1DAC">
        <w:rPr>
          <w:rFonts w:ascii="Times New Roman" w:hAnsi="Times New Roman" w:cs="Times New Roman"/>
          <w:sz w:val="28"/>
          <w:szCs w:val="28"/>
        </w:rPr>
        <w:t>art. 596. Trattasi di una regola non derogabile neppure nel caso in cui, dopo l</w:t>
      </w:r>
      <w:r w:rsidR="00B143B2">
        <w:rPr>
          <w:rFonts w:ascii="Times New Roman" w:hAnsi="Times New Roman" w:cs="Times New Roman"/>
          <w:sz w:val="28"/>
          <w:szCs w:val="28"/>
        </w:rPr>
        <w:t>’</w:t>
      </w:r>
      <w:r w:rsidRPr="002C1DAC">
        <w:rPr>
          <w:rFonts w:ascii="Times New Roman" w:hAnsi="Times New Roman" w:cs="Times New Roman"/>
          <w:sz w:val="28"/>
          <w:szCs w:val="28"/>
        </w:rPr>
        <w:t>approvazione del progetto di distribuzione, siano acquisite alla procedura nuove somme di denaro ed il giudice fissi una nuova udienza per le modifiche al progetto di distribuzione, essendo detta udienza necessaria ed avendo anche finalità meramente esecutive del progetto di distribuzione, che non può più essere ridiscusso</w:t>
      </w:r>
      <w:r>
        <w:rPr>
          <w:rFonts w:ascii="Times New Roman" w:hAnsi="Times New Roman" w:cs="Times New Roman"/>
          <w:sz w:val="28"/>
          <w:szCs w:val="28"/>
        </w:rPr>
        <w:t>.</w:t>
      </w:r>
    </w:p>
    <w:p w:rsidR="002C1DAC" w:rsidRDefault="002C1DAC" w:rsidP="002C1DAC">
      <w:pPr>
        <w:spacing w:after="0" w:line="240" w:lineRule="auto"/>
        <w:jc w:val="both"/>
        <w:rPr>
          <w:rFonts w:ascii="Times New Roman" w:hAnsi="Times New Roman" w:cs="Times New Roman"/>
          <w:sz w:val="28"/>
          <w:szCs w:val="28"/>
        </w:rPr>
      </w:pPr>
      <w:r>
        <w:rPr>
          <w:rFonts w:ascii="Times New Roman" w:hAnsi="Times New Roman" w:cs="Times New Roman"/>
          <w:sz w:val="28"/>
          <w:szCs w:val="28"/>
        </w:rPr>
        <w:t>Si ritiene che i</w:t>
      </w:r>
      <w:r w:rsidRPr="002C1DAC">
        <w:rPr>
          <w:rFonts w:ascii="Times New Roman" w:hAnsi="Times New Roman" w:cs="Times New Roman"/>
          <w:sz w:val="28"/>
          <w:szCs w:val="28"/>
        </w:rPr>
        <w:t>n mancanza dell</w:t>
      </w:r>
      <w:r w:rsidR="00B143B2">
        <w:rPr>
          <w:rFonts w:ascii="Times New Roman" w:hAnsi="Times New Roman" w:cs="Times New Roman"/>
          <w:sz w:val="28"/>
          <w:szCs w:val="28"/>
        </w:rPr>
        <w:t>’</w:t>
      </w:r>
      <w:r w:rsidRPr="002C1DAC">
        <w:rPr>
          <w:rFonts w:ascii="Times New Roman" w:hAnsi="Times New Roman" w:cs="Times New Roman"/>
          <w:sz w:val="28"/>
          <w:szCs w:val="28"/>
        </w:rPr>
        <w:t>udienza </w:t>
      </w:r>
      <w:r w:rsidRPr="002C1DAC">
        <w:rPr>
          <w:rFonts w:ascii="Times New Roman" w:hAnsi="Times New Roman" w:cs="Times New Roman"/>
          <w:i/>
          <w:iCs/>
          <w:sz w:val="28"/>
          <w:szCs w:val="28"/>
        </w:rPr>
        <w:t>ex </w:t>
      </w:r>
      <w:r w:rsidRPr="002C1DAC">
        <w:rPr>
          <w:rFonts w:ascii="Times New Roman" w:hAnsi="Times New Roman" w:cs="Times New Roman"/>
          <w:sz w:val="28"/>
          <w:szCs w:val="28"/>
        </w:rPr>
        <w:t>art. 596, che non ha luogo allorché nell</w:t>
      </w:r>
      <w:r w:rsidR="00B143B2">
        <w:rPr>
          <w:rFonts w:ascii="Times New Roman" w:hAnsi="Times New Roman" w:cs="Times New Roman"/>
          <w:sz w:val="28"/>
          <w:szCs w:val="28"/>
        </w:rPr>
        <w:t>’</w:t>
      </w:r>
      <w:r w:rsidRPr="002C1DAC">
        <w:rPr>
          <w:rFonts w:ascii="Times New Roman" w:hAnsi="Times New Roman" w:cs="Times New Roman"/>
          <w:sz w:val="28"/>
          <w:szCs w:val="28"/>
        </w:rPr>
        <w:t>esecuzione vi si</w:t>
      </w:r>
      <w:r>
        <w:rPr>
          <w:rFonts w:ascii="Times New Roman" w:hAnsi="Times New Roman" w:cs="Times New Roman"/>
          <w:sz w:val="28"/>
          <w:szCs w:val="28"/>
        </w:rPr>
        <w:t xml:space="preserve">a il solo creditore pignorante </w:t>
      </w:r>
      <w:r w:rsidRPr="00A87EFC">
        <w:rPr>
          <w:rFonts w:ascii="Times New Roman" w:hAnsi="Times New Roman" w:cs="Times New Roman"/>
          <w:sz w:val="28"/>
          <w:szCs w:val="28"/>
        </w:rPr>
        <w:t>→</w:t>
      </w:r>
      <w:r>
        <w:rPr>
          <w:rFonts w:ascii="Times New Roman" w:hAnsi="Times New Roman" w:cs="Times New Roman"/>
          <w:sz w:val="28"/>
          <w:szCs w:val="28"/>
        </w:rPr>
        <w:t xml:space="preserve"> </w:t>
      </w:r>
      <w:r w:rsidR="00B143B2">
        <w:rPr>
          <w:rFonts w:ascii="Times New Roman" w:hAnsi="Times New Roman" w:cs="Times New Roman"/>
          <w:sz w:val="28"/>
          <w:szCs w:val="28"/>
        </w:rPr>
        <w:t>art. 510</w:t>
      </w:r>
      <w:r w:rsidRPr="002C1DAC">
        <w:rPr>
          <w:rFonts w:ascii="Times New Roman" w:hAnsi="Times New Roman" w:cs="Times New Roman"/>
          <w:sz w:val="28"/>
          <w:szCs w:val="28"/>
        </w:rPr>
        <w:t xml:space="preserve"> co.</w:t>
      </w:r>
      <w:r>
        <w:rPr>
          <w:rFonts w:ascii="Times New Roman" w:hAnsi="Times New Roman" w:cs="Times New Roman"/>
          <w:sz w:val="28"/>
          <w:szCs w:val="28"/>
        </w:rPr>
        <w:t xml:space="preserve"> 1</w:t>
      </w:r>
      <w:r w:rsidRPr="002C1DAC">
        <w:rPr>
          <w:rFonts w:ascii="Times New Roman" w:hAnsi="Times New Roman" w:cs="Times New Roman"/>
          <w:sz w:val="28"/>
          <w:szCs w:val="28"/>
        </w:rPr>
        <w:t>, l</w:t>
      </w:r>
      <w:r w:rsidR="00B143B2">
        <w:rPr>
          <w:rFonts w:ascii="Times New Roman" w:hAnsi="Times New Roman" w:cs="Times New Roman"/>
          <w:sz w:val="28"/>
          <w:szCs w:val="28"/>
        </w:rPr>
        <w:t>’</w:t>
      </w:r>
      <w:r w:rsidRPr="002C1DAC">
        <w:rPr>
          <w:rFonts w:ascii="Times New Roman" w:hAnsi="Times New Roman" w:cs="Times New Roman"/>
          <w:sz w:val="28"/>
          <w:szCs w:val="28"/>
        </w:rPr>
        <w:t>intervento di altri creditori è ammissibile fino a che l</w:t>
      </w:r>
      <w:r w:rsidR="00B143B2">
        <w:rPr>
          <w:rFonts w:ascii="Times New Roman" w:hAnsi="Times New Roman" w:cs="Times New Roman"/>
          <w:sz w:val="28"/>
          <w:szCs w:val="28"/>
        </w:rPr>
        <w:t>’</w:t>
      </w:r>
      <w:r w:rsidRPr="002C1DAC">
        <w:rPr>
          <w:rFonts w:ascii="Times New Roman" w:hAnsi="Times New Roman" w:cs="Times New Roman"/>
          <w:sz w:val="28"/>
          <w:szCs w:val="28"/>
        </w:rPr>
        <w:t>ordine di pagare non sia stato emanato</w:t>
      </w:r>
      <w:r>
        <w:rPr>
          <w:rFonts w:ascii="Times New Roman" w:hAnsi="Times New Roman" w:cs="Times New Roman"/>
          <w:sz w:val="28"/>
          <w:szCs w:val="28"/>
        </w:rPr>
        <w:t>.</w:t>
      </w:r>
    </w:p>
    <w:p w:rsidR="005F36F0" w:rsidRDefault="005F36F0" w:rsidP="002C1DAC">
      <w:pPr>
        <w:spacing w:after="0" w:line="240" w:lineRule="auto"/>
        <w:jc w:val="both"/>
        <w:rPr>
          <w:rFonts w:ascii="Times New Roman" w:hAnsi="Times New Roman" w:cs="Times New Roman"/>
          <w:sz w:val="28"/>
          <w:szCs w:val="28"/>
        </w:rPr>
      </w:pPr>
      <w:r w:rsidRPr="00A77931">
        <w:rPr>
          <w:rFonts w:ascii="Times New Roman" w:hAnsi="Times New Roman" w:cs="Times New Roman"/>
          <w:sz w:val="28"/>
          <w:szCs w:val="28"/>
          <w:highlight w:val="yellow"/>
        </w:rPr>
        <w:t xml:space="preserve">In conclusione, la norma in commento si riferisce ai creditori non privilegiati, con o senza titolo, intervenuti dopo l’udienza per l’autorizzazione della vendita, ma prima di quella fissata per la formazione del progetto di distribuzione, stabilendo che essi concorrono alla distribuzione di quella parte di </w:t>
      </w:r>
      <w:r w:rsidRPr="00A77931">
        <w:rPr>
          <w:rFonts w:ascii="Times New Roman" w:hAnsi="Times New Roman" w:cs="Times New Roman"/>
          <w:b/>
          <w:sz w:val="28"/>
          <w:szCs w:val="28"/>
          <w:highlight w:val="yellow"/>
        </w:rPr>
        <w:t>somma ricavata che sopravanza</w:t>
      </w:r>
      <w:r w:rsidRPr="00A77931">
        <w:rPr>
          <w:rFonts w:ascii="Times New Roman" w:hAnsi="Times New Roman" w:cs="Times New Roman"/>
          <w:sz w:val="28"/>
          <w:szCs w:val="28"/>
          <w:highlight w:val="yellow"/>
        </w:rPr>
        <w:t xml:space="preserve"> </w:t>
      </w:r>
      <w:r w:rsidR="00A77931" w:rsidRPr="00A77931">
        <w:rPr>
          <w:rFonts w:ascii="Times New Roman" w:hAnsi="Times New Roman" w:cs="Times New Roman"/>
          <w:sz w:val="28"/>
          <w:szCs w:val="28"/>
          <w:highlight w:val="yellow"/>
        </w:rPr>
        <w:t xml:space="preserve">dopo la soddisfazione del creditore pignorante e degli intervenuti tempestivi, nonché di coloro che pur essendo intervenuti soltanto all’udienza di discussione del progetto sono iscritti e privilegiati, v. art. 566 </w:t>
      </w:r>
      <w:proofErr w:type="spellStart"/>
      <w:r w:rsidR="00A77931" w:rsidRPr="00A77931">
        <w:rPr>
          <w:rFonts w:ascii="Times New Roman" w:hAnsi="Times New Roman" w:cs="Times New Roman"/>
          <w:sz w:val="28"/>
          <w:szCs w:val="28"/>
          <w:highlight w:val="yellow"/>
        </w:rPr>
        <w:t>c.p.c.</w:t>
      </w:r>
      <w:bookmarkStart w:id="0" w:name="_GoBack"/>
      <w:bookmarkEnd w:id="0"/>
      <w:proofErr w:type="spellEnd"/>
    </w:p>
    <w:p w:rsidR="002C1DAC" w:rsidRDefault="002C1DAC" w:rsidP="002C1DAC">
      <w:pPr>
        <w:spacing w:after="0" w:line="240" w:lineRule="auto"/>
        <w:jc w:val="both"/>
        <w:rPr>
          <w:rFonts w:ascii="Times New Roman" w:hAnsi="Times New Roman" w:cs="Times New Roman"/>
          <w:sz w:val="28"/>
          <w:szCs w:val="28"/>
        </w:rPr>
      </w:pPr>
    </w:p>
    <w:p w:rsidR="002C1DAC" w:rsidRDefault="002C1DAC" w:rsidP="002C1DAC">
      <w:pPr>
        <w:spacing w:after="0" w:line="240" w:lineRule="auto"/>
        <w:jc w:val="both"/>
        <w:rPr>
          <w:rFonts w:ascii="Times New Roman" w:hAnsi="Times New Roman" w:cs="Times New Roman"/>
          <w:sz w:val="28"/>
          <w:szCs w:val="28"/>
        </w:rPr>
      </w:pPr>
    </w:p>
    <w:p w:rsidR="002C1DAC" w:rsidRDefault="002C1DAC" w:rsidP="002C1DAC">
      <w:pPr>
        <w:spacing w:after="0" w:line="240" w:lineRule="auto"/>
        <w:jc w:val="both"/>
        <w:rPr>
          <w:rFonts w:ascii="Times New Roman" w:hAnsi="Times New Roman" w:cs="Times New Roman"/>
          <w:sz w:val="28"/>
          <w:szCs w:val="28"/>
        </w:rPr>
      </w:pPr>
    </w:p>
    <w:p w:rsidR="00996EF8" w:rsidRPr="00996EF8" w:rsidRDefault="00996EF8" w:rsidP="00A77501">
      <w:pPr>
        <w:spacing w:after="0" w:line="240" w:lineRule="auto"/>
        <w:jc w:val="both"/>
        <w:rPr>
          <w:rFonts w:ascii="Times New Roman" w:hAnsi="Times New Roman" w:cs="Times New Roman"/>
          <w:sz w:val="28"/>
          <w:szCs w:val="28"/>
        </w:rPr>
      </w:pPr>
    </w:p>
    <w:p w:rsidR="00A87EFC" w:rsidRPr="00A87EFC" w:rsidRDefault="00A87EFC" w:rsidP="00A77501">
      <w:pPr>
        <w:spacing w:after="0" w:line="240" w:lineRule="auto"/>
        <w:jc w:val="both"/>
        <w:rPr>
          <w:rFonts w:ascii="Times New Roman" w:hAnsi="Times New Roman" w:cs="Times New Roman"/>
          <w:smallCaps/>
          <w:sz w:val="28"/>
          <w:szCs w:val="28"/>
        </w:rPr>
      </w:pPr>
    </w:p>
    <w:p w:rsidR="00A87EFC" w:rsidRPr="00A87EFC" w:rsidRDefault="00A87EFC" w:rsidP="00A77501">
      <w:pPr>
        <w:spacing w:after="0" w:line="240" w:lineRule="auto"/>
        <w:jc w:val="both"/>
        <w:rPr>
          <w:rFonts w:ascii="Times New Roman" w:hAnsi="Times New Roman" w:cs="Times New Roman"/>
          <w:sz w:val="28"/>
          <w:szCs w:val="28"/>
        </w:rPr>
      </w:pPr>
    </w:p>
    <w:p w:rsidR="00A87EFC" w:rsidRPr="00A87EFC" w:rsidRDefault="00A87EFC" w:rsidP="00A77501">
      <w:pPr>
        <w:spacing w:after="0" w:line="240" w:lineRule="auto"/>
        <w:jc w:val="both"/>
        <w:rPr>
          <w:rFonts w:ascii="Times New Roman" w:hAnsi="Times New Roman" w:cs="Times New Roman"/>
          <w:sz w:val="28"/>
          <w:szCs w:val="28"/>
        </w:rPr>
      </w:pPr>
    </w:p>
    <w:p w:rsidR="000739E9" w:rsidRPr="00A77501" w:rsidRDefault="000739E9" w:rsidP="00A77501">
      <w:pPr>
        <w:spacing w:after="0" w:line="240" w:lineRule="auto"/>
        <w:jc w:val="both"/>
        <w:rPr>
          <w:rFonts w:ascii="Times New Roman" w:hAnsi="Times New Roman" w:cs="Times New Roman"/>
          <w:sz w:val="28"/>
          <w:szCs w:val="28"/>
        </w:rPr>
      </w:pPr>
    </w:p>
    <w:p w:rsidR="00A77501" w:rsidRPr="00A77501" w:rsidRDefault="00A77501" w:rsidP="00A77501">
      <w:pPr>
        <w:spacing w:after="0" w:line="240" w:lineRule="auto"/>
        <w:jc w:val="both"/>
        <w:rPr>
          <w:rFonts w:ascii="Times New Roman" w:hAnsi="Times New Roman" w:cs="Times New Roman"/>
          <w:sz w:val="28"/>
          <w:szCs w:val="28"/>
        </w:rPr>
      </w:pPr>
    </w:p>
    <w:p w:rsidR="00A77501" w:rsidRDefault="00A77501" w:rsidP="006B1643">
      <w:pPr>
        <w:spacing w:after="0" w:line="240" w:lineRule="auto"/>
        <w:jc w:val="both"/>
        <w:rPr>
          <w:rFonts w:ascii="Times New Roman" w:hAnsi="Times New Roman" w:cs="Times New Roman"/>
          <w:sz w:val="28"/>
          <w:szCs w:val="28"/>
        </w:rPr>
      </w:pPr>
    </w:p>
    <w:p w:rsidR="00A77501" w:rsidRDefault="00A77501" w:rsidP="006B1643">
      <w:pPr>
        <w:spacing w:after="0" w:line="240" w:lineRule="auto"/>
        <w:jc w:val="both"/>
        <w:rPr>
          <w:rFonts w:ascii="Times New Roman" w:hAnsi="Times New Roman" w:cs="Times New Roman"/>
          <w:sz w:val="28"/>
          <w:szCs w:val="28"/>
        </w:rPr>
      </w:pPr>
    </w:p>
    <w:p w:rsidR="00032C04" w:rsidRPr="00032C04" w:rsidRDefault="00032C04" w:rsidP="00032C04">
      <w:pPr>
        <w:spacing w:after="0" w:line="240" w:lineRule="auto"/>
        <w:jc w:val="both"/>
        <w:rPr>
          <w:rFonts w:ascii="Times New Roman" w:hAnsi="Times New Roman" w:cs="Times New Roman"/>
          <w:sz w:val="28"/>
          <w:szCs w:val="28"/>
        </w:rPr>
      </w:pPr>
    </w:p>
    <w:sectPr w:rsidR="00032C04" w:rsidRPr="00032C0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2A39"/>
    <w:rsid w:val="00032C04"/>
    <w:rsid w:val="000739E9"/>
    <w:rsid w:val="000B49D0"/>
    <w:rsid w:val="000B5EBD"/>
    <w:rsid w:val="000D3EDA"/>
    <w:rsid w:val="00150B95"/>
    <w:rsid w:val="001518F4"/>
    <w:rsid w:val="00185709"/>
    <w:rsid w:val="00192C97"/>
    <w:rsid w:val="00194379"/>
    <w:rsid w:val="001E0B6D"/>
    <w:rsid w:val="001E56ED"/>
    <w:rsid w:val="001E646B"/>
    <w:rsid w:val="001F181E"/>
    <w:rsid w:val="00227A00"/>
    <w:rsid w:val="002523B3"/>
    <w:rsid w:val="00257735"/>
    <w:rsid w:val="002746C0"/>
    <w:rsid w:val="002953E4"/>
    <w:rsid w:val="002B424B"/>
    <w:rsid w:val="002C1DAC"/>
    <w:rsid w:val="002F0554"/>
    <w:rsid w:val="00327CB2"/>
    <w:rsid w:val="00382EC9"/>
    <w:rsid w:val="00394B70"/>
    <w:rsid w:val="00413CAC"/>
    <w:rsid w:val="004156EF"/>
    <w:rsid w:val="00453220"/>
    <w:rsid w:val="00473AC5"/>
    <w:rsid w:val="004B3D7B"/>
    <w:rsid w:val="004C48B3"/>
    <w:rsid w:val="004D51DC"/>
    <w:rsid w:val="004F6996"/>
    <w:rsid w:val="005245E3"/>
    <w:rsid w:val="00550C55"/>
    <w:rsid w:val="00563E88"/>
    <w:rsid w:val="00583A4C"/>
    <w:rsid w:val="005B1476"/>
    <w:rsid w:val="005F36F0"/>
    <w:rsid w:val="006439F1"/>
    <w:rsid w:val="00682633"/>
    <w:rsid w:val="0069194D"/>
    <w:rsid w:val="006A194A"/>
    <w:rsid w:val="006A753A"/>
    <w:rsid w:val="006B1643"/>
    <w:rsid w:val="007379F2"/>
    <w:rsid w:val="007622D3"/>
    <w:rsid w:val="007B45CE"/>
    <w:rsid w:val="007D0380"/>
    <w:rsid w:val="007F70D2"/>
    <w:rsid w:val="00890794"/>
    <w:rsid w:val="008A257F"/>
    <w:rsid w:val="0096748D"/>
    <w:rsid w:val="0097394E"/>
    <w:rsid w:val="00996EF8"/>
    <w:rsid w:val="009C192E"/>
    <w:rsid w:val="009D1AC9"/>
    <w:rsid w:val="00A01142"/>
    <w:rsid w:val="00A02D89"/>
    <w:rsid w:val="00A42A39"/>
    <w:rsid w:val="00A65371"/>
    <w:rsid w:val="00A77501"/>
    <w:rsid w:val="00A77931"/>
    <w:rsid w:val="00A87EFC"/>
    <w:rsid w:val="00AA1158"/>
    <w:rsid w:val="00AC568D"/>
    <w:rsid w:val="00AD3256"/>
    <w:rsid w:val="00AD4E17"/>
    <w:rsid w:val="00AD58C1"/>
    <w:rsid w:val="00AE6FFA"/>
    <w:rsid w:val="00B143B2"/>
    <w:rsid w:val="00B22A88"/>
    <w:rsid w:val="00B349AC"/>
    <w:rsid w:val="00B57004"/>
    <w:rsid w:val="00B82F5F"/>
    <w:rsid w:val="00BE22D0"/>
    <w:rsid w:val="00C94991"/>
    <w:rsid w:val="00CC0533"/>
    <w:rsid w:val="00D23869"/>
    <w:rsid w:val="00D41E45"/>
    <w:rsid w:val="00E17284"/>
    <w:rsid w:val="00E950FA"/>
    <w:rsid w:val="00EA18D7"/>
    <w:rsid w:val="00EA6944"/>
    <w:rsid w:val="00EC1501"/>
    <w:rsid w:val="00F27F03"/>
    <w:rsid w:val="00F775C1"/>
    <w:rsid w:val="00F85283"/>
    <w:rsid w:val="00FF0C6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D2AF2B"/>
  <w15:docId w15:val="{66B1C241-B3C3-4CF3-94E0-1DFB8C3BFD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5245E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394B70"/>
    <w:rPr>
      <w:color w:val="0000FF" w:themeColor="hyperlink"/>
      <w:u w:val="single"/>
    </w:rPr>
  </w:style>
  <w:style w:type="character" w:customStyle="1" w:styleId="Titolo1Carattere">
    <w:name w:val="Titolo 1 Carattere"/>
    <w:basedOn w:val="Carpredefinitoparagrafo"/>
    <w:link w:val="Titolo1"/>
    <w:uiPriority w:val="9"/>
    <w:rsid w:val="005245E3"/>
    <w:rPr>
      <w:rFonts w:asciiTheme="majorHAnsi" w:eastAsiaTheme="majorEastAsia" w:hAnsiTheme="majorHAnsi" w:cstheme="majorBidi"/>
      <w:color w:val="365F91" w:themeColor="accent1" w:themeShade="BF"/>
      <w:sz w:val="32"/>
      <w:szCs w:val="32"/>
    </w:rPr>
  </w:style>
  <w:style w:type="paragraph" w:styleId="Corpotesto">
    <w:name w:val="Body Text"/>
    <w:basedOn w:val="Normale"/>
    <w:link w:val="CorpotestoCarattere"/>
    <w:uiPriority w:val="99"/>
    <w:unhideWhenUsed/>
    <w:rsid w:val="005245E3"/>
    <w:pPr>
      <w:spacing w:after="120"/>
    </w:pPr>
  </w:style>
  <w:style w:type="character" w:customStyle="1" w:styleId="CorpotestoCarattere">
    <w:name w:val="Corpo testo Carattere"/>
    <w:basedOn w:val="Carpredefinitoparagrafo"/>
    <w:link w:val="Corpotesto"/>
    <w:uiPriority w:val="99"/>
    <w:rsid w:val="005245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5687611">
      <w:bodyDiv w:val="1"/>
      <w:marLeft w:val="0"/>
      <w:marRight w:val="0"/>
      <w:marTop w:val="0"/>
      <w:marBottom w:val="0"/>
      <w:divBdr>
        <w:top w:val="none" w:sz="0" w:space="0" w:color="auto"/>
        <w:left w:val="none" w:sz="0" w:space="0" w:color="auto"/>
        <w:bottom w:val="none" w:sz="0" w:space="0" w:color="auto"/>
        <w:right w:val="none" w:sz="0" w:space="0" w:color="auto"/>
      </w:divBdr>
    </w:div>
    <w:div w:id="1341734964">
      <w:bodyDiv w:val="1"/>
      <w:marLeft w:val="0"/>
      <w:marRight w:val="0"/>
      <w:marTop w:val="0"/>
      <w:marBottom w:val="0"/>
      <w:divBdr>
        <w:top w:val="none" w:sz="0" w:space="0" w:color="auto"/>
        <w:left w:val="none" w:sz="0" w:space="0" w:color="auto"/>
        <w:bottom w:val="none" w:sz="0" w:space="0" w:color="auto"/>
        <w:right w:val="none" w:sz="0" w:space="0" w:color="auto"/>
      </w:divBdr>
    </w:div>
    <w:div w:id="1540315617">
      <w:bodyDiv w:val="1"/>
      <w:marLeft w:val="0"/>
      <w:marRight w:val="0"/>
      <w:marTop w:val="0"/>
      <w:marBottom w:val="0"/>
      <w:divBdr>
        <w:top w:val="none" w:sz="0" w:space="0" w:color="auto"/>
        <w:left w:val="none" w:sz="0" w:space="0" w:color="auto"/>
        <w:bottom w:val="none" w:sz="0" w:space="0" w:color="auto"/>
        <w:right w:val="none" w:sz="0" w:space="0" w:color="auto"/>
      </w:divBdr>
    </w:div>
    <w:div w:id="1905948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1</Pages>
  <Words>528</Words>
  <Characters>3013</Characters>
  <Application>Microsoft Office Word</Application>
  <DocSecurity>0</DocSecurity>
  <Lines>25</Lines>
  <Paragraphs>7</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3534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Utente</cp:lastModifiedBy>
  <cp:revision>7</cp:revision>
  <dcterms:created xsi:type="dcterms:W3CDTF">2020-06-26T22:34:00Z</dcterms:created>
  <dcterms:modified xsi:type="dcterms:W3CDTF">2023-05-09T09:26:00Z</dcterms:modified>
</cp:coreProperties>
</file>