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F7246" w:rsidRPr="004F7246" w:rsidRDefault="00C94991" w:rsidP="0051346E">
      <w:pPr>
        <w:jc w:val="both"/>
        <w:rPr>
          <w:rFonts w:ascii="Times New Roman" w:hAnsi="Times New Roman" w:cs="Times New Roman"/>
          <w:b/>
          <w:sz w:val="28"/>
          <w:szCs w:val="28"/>
        </w:rPr>
      </w:pPr>
      <w:r>
        <w:rPr>
          <w:rFonts w:ascii="Times New Roman" w:hAnsi="Times New Roman" w:cs="Times New Roman"/>
          <w:b/>
          <w:sz w:val="28"/>
          <w:szCs w:val="28"/>
        </w:rPr>
        <w:t>Art. 558</w:t>
      </w:r>
    </w:p>
    <w:p w:rsidR="004F7246" w:rsidRDefault="00563E88" w:rsidP="00682633">
      <w:pPr>
        <w:spacing w:after="0" w:line="240" w:lineRule="auto"/>
        <w:jc w:val="both"/>
        <w:rPr>
          <w:rFonts w:ascii="Times New Roman" w:hAnsi="Times New Roman" w:cs="Times New Roman"/>
          <w:sz w:val="28"/>
          <w:szCs w:val="28"/>
        </w:rPr>
      </w:pPr>
      <w:r w:rsidRPr="004F7246">
        <w:rPr>
          <w:rFonts w:ascii="Times New Roman" w:hAnsi="Times New Roman" w:cs="Times New Roman"/>
          <w:sz w:val="28"/>
          <w:szCs w:val="28"/>
          <w:highlight w:val="yellow"/>
        </w:rPr>
        <w:t>La disposizione</w:t>
      </w:r>
      <w:r w:rsidR="004F7246" w:rsidRPr="004F7246">
        <w:rPr>
          <w:rFonts w:ascii="Times New Roman" w:hAnsi="Times New Roman" w:cs="Times New Roman"/>
          <w:sz w:val="28"/>
          <w:szCs w:val="28"/>
          <w:highlight w:val="yellow"/>
        </w:rPr>
        <w:t xml:space="preserve"> prevede un rimedio per ovviare agli eccessi nell’esercizio dell’azione esecutiva, di carattere speciale rispetto a quello disciplinato nell’art. 496 </w:t>
      </w:r>
      <w:proofErr w:type="spellStart"/>
      <w:r w:rsidR="004F7246" w:rsidRPr="004F7246">
        <w:rPr>
          <w:rFonts w:ascii="Times New Roman" w:hAnsi="Times New Roman" w:cs="Times New Roman"/>
          <w:sz w:val="28"/>
          <w:szCs w:val="28"/>
          <w:highlight w:val="yellow"/>
        </w:rPr>
        <w:t>c.p.c.</w:t>
      </w:r>
      <w:proofErr w:type="spellEnd"/>
      <w:r w:rsidR="004F7246" w:rsidRPr="004F7246">
        <w:rPr>
          <w:rFonts w:ascii="Times New Roman" w:hAnsi="Times New Roman" w:cs="Times New Roman"/>
          <w:sz w:val="28"/>
          <w:szCs w:val="28"/>
          <w:highlight w:val="yellow"/>
        </w:rPr>
        <w:t xml:space="preserve"> sulla riduzione del pignoramento, perché </w:t>
      </w:r>
      <w:r w:rsidR="00C67E9A">
        <w:rPr>
          <w:rFonts w:ascii="Times New Roman" w:hAnsi="Times New Roman" w:cs="Times New Roman"/>
          <w:sz w:val="28"/>
          <w:szCs w:val="28"/>
          <w:highlight w:val="yellow"/>
        </w:rPr>
        <w:t>l’art. 558</w:t>
      </w:r>
      <w:r w:rsidR="004F7246" w:rsidRPr="004F7246">
        <w:rPr>
          <w:rFonts w:ascii="Times New Roman" w:hAnsi="Times New Roman" w:cs="Times New Roman"/>
          <w:sz w:val="28"/>
          <w:szCs w:val="28"/>
          <w:highlight w:val="yellow"/>
        </w:rPr>
        <w:t xml:space="preserve"> è applicabile solo con riferimento alle espropriazioni che hanno ad oggetto beni ipotecati.</w:t>
      </w:r>
      <w:r w:rsidRPr="007F70D2">
        <w:rPr>
          <w:rFonts w:ascii="Times New Roman" w:hAnsi="Times New Roman" w:cs="Times New Roman"/>
          <w:sz w:val="28"/>
          <w:szCs w:val="28"/>
        </w:rPr>
        <w:t xml:space="preserve"> </w:t>
      </w:r>
    </w:p>
    <w:p w:rsidR="00563E88" w:rsidRPr="00704E4C" w:rsidRDefault="004F7246" w:rsidP="00682633">
      <w:pPr>
        <w:spacing w:after="0" w:line="240" w:lineRule="auto"/>
        <w:jc w:val="both"/>
        <w:rPr>
          <w:rFonts w:ascii="Times New Roman" w:hAnsi="Times New Roman" w:cs="Times New Roman"/>
          <w:sz w:val="28"/>
          <w:szCs w:val="28"/>
        </w:rPr>
      </w:pPr>
      <w:r w:rsidRPr="004F7246">
        <w:rPr>
          <w:rFonts w:ascii="Times New Roman" w:hAnsi="Times New Roman" w:cs="Times New Roman"/>
          <w:sz w:val="28"/>
          <w:szCs w:val="28"/>
          <w:highlight w:val="yellow"/>
        </w:rPr>
        <w:t>Per comprende</w:t>
      </w:r>
      <w:r w:rsidR="00704E4C">
        <w:rPr>
          <w:rFonts w:ascii="Times New Roman" w:hAnsi="Times New Roman" w:cs="Times New Roman"/>
          <w:sz w:val="28"/>
          <w:szCs w:val="28"/>
          <w:highlight w:val="yellow"/>
        </w:rPr>
        <w:t>rne</w:t>
      </w:r>
      <w:r w:rsidRPr="004F7246">
        <w:rPr>
          <w:rFonts w:ascii="Times New Roman" w:hAnsi="Times New Roman" w:cs="Times New Roman"/>
          <w:sz w:val="28"/>
          <w:szCs w:val="28"/>
          <w:highlight w:val="yellow"/>
        </w:rPr>
        <w:t xml:space="preserve"> l’</w:t>
      </w:r>
      <w:r w:rsidR="00704E4C">
        <w:rPr>
          <w:rFonts w:ascii="Times New Roman" w:hAnsi="Times New Roman" w:cs="Times New Roman"/>
          <w:sz w:val="28"/>
          <w:szCs w:val="28"/>
          <w:highlight w:val="yellow"/>
        </w:rPr>
        <w:t>ambito applicativo</w:t>
      </w:r>
      <w:r w:rsidRPr="004F7246">
        <w:rPr>
          <w:rFonts w:ascii="Times New Roman" w:hAnsi="Times New Roman" w:cs="Times New Roman"/>
          <w:sz w:val="28"/>
          <w:szCs w:val="28"/>
          <w:highlight w:val="yellow"/>
        </w:rPr>
        <w:t xml:space="preserve"> bisogna far riferimento all’</w:t>
      </w:r>
      <w:r w:rsidR="00032C04" w:rsidRPr="004F7246">
        <w:rPr>
          <w:rFonts w:ascii="Times New Roman" w:hAnsi="Times New Roman" w:cs="Times New Roman"/>
          <w:sz w:val="28"/>
          <w:szCs w:val="28"/>
          <w:highlight w:val="yellow"/>
        </w:rPr>
        <w:t>art.</w:t>
      </w:r>
      <w:r w:rsidR="00563E88" w:rsidRPr="004F7246">
        <w:rPr>
          <w:rFonts w:ascii="Times New Roman" w:hAnsi="Times New Roman" w:cs="Times New Roman"/>
          <w:sz w:val="28"/>
          <w:szCs w:val="28"/>
          <w:highlight w:val="yellow"/>
        </w:rPr>
        <w:t xml:space="preserve"> 2911</w:t>
      </w:r>
      <w:r w:rsidR="00563E88" w:rsidRPr="007F70D2">
        <w:rPr>
          <w:rFonts w:ascii="Times New Roman" w:hAnsi="Times New Roman" w:cs="Times New Roman"/>
          <w:sz w:val="28"/>
          <w:szCs w:val="28"/>
        </w:rPr>
        <w:t xml:space="preserve"> c.c.</w:t>
      </w:r>
      <w:r w:rsidR="005650B2">
        <w:rPr>
          <w:rFonts w:ascii="Times New Roman" w:hAnsi="Times New Roman" w:cs="Times New Roman"/>
          <w:sz w:val="28"/>
          <w:szCs w:val="28"/>
        </w:rPr>
        <w:t>,</w:t>
      </w:r>
      <w:r w:rsidR="00563E88" w:rsidRPr="007F70D2">
        <w:rPr>
          <w:rFonts w:ascii="Times New Roman" w:hAnsi="Times New Roman" w:cs="Times New Roman"/>
          <w:sz w:val="28"/>
          <w:szCs w:val="28"/>
        </w:rPr>
        <w:t xml:space="preserve"> secondo cui il </w:t>
      </w:r>
      <w:r w:rsidR="00563E88" w:rsidRPr="007F70D2">
        <w:rPr>
          <w:rFonts w:ascii="Times New Roman" w:hAnsi="Times New Roman" w:cs="Times New Roman"/>
          <w:bCs/>
          <w:sz w:val="28"/>
          <w:szCs w:val="28"/>
        </w:rPr>
        <w:t>creditore ipotecario </w:t>
      </w:r>
      <w:r w:rsidR="00563E88" w:rsidRPr="007F70D2">
        <w:rPr>
          <w:rFonts w:ascii="Times New Roman" w:hAnsi="Times New Roman" w:cs="Times New Roman"/>
          <w:sz w:val="28"/>
          <w:szCs w:val="28"/>
        </w:rPr>
        <w:t>non può pignorare altri immobili se non sottopone contemporaneamente</w:t>
      </w:r>
      <w:r w:rsidR="00563E88" w:rsidRPr="00563E88">
        <w:rPr>
          <w:rFonts w:ascii="Times New Roman" w:hAnsi="Times New Roman" w:cs="Times New Roman"/>
          <w:sz w:val="28"/>
          <w:szCs w:val="28"/>
        </w:rPr>
        <w:t xml:space="preserve"> a pignora</w:t>
      </w:r>
      <w:r w:rsidR="00563E88">
        <w:rPr>
          <w:rFonts w:ascii="Times New Roman" w:hAnsi="Times New Roman" w:cs="Times New Roman"/>
          <w:sz w:val="28"/>
          <w:szCs w:val="28"/>
        </w:rPr>
        <w:t>mento gli immobili gravati dall</w:t>
      </w:r>
      <w:r w:rsidR="0051346E">
        <w:rPr>
          <w:rFonts w:ascii="Times New Roman" w:hAnsi="Times New Roman" w:cs="Times New Roman"/>
          <w:sz w:val="28"/>
          <w:szCs w:val="28"/>
        </w:rPr>
        <w:t>’</w:t>
      </w:r>
      <w:r w:rsidR="00563E88" w:rsidRPr="00563E88">
        <w:rPr>
          <w:rFonts w:ascii="Times New Roman" w:hAnsi="Times New Roman" w:cs="Times New Roman"/>
          <w:sz w:val="28"/>
          <w:szCs w:val="28"/>
        </w:rPr>
        <w:t>ipoteca</w:t>
      </w:r>
      <w:r w:rsidR="00563E88">
        <w:rPr>
          <w:rFonts w:ascii="Times New Roman" w:hAnsi="Times New Roman" w:cs="Times New Roman"/>
          <w:sz w:val="28"/>
          <w:szCs w:val="28"/>
        </w:rPr>
        <w:t>.</w:t>
      </w:r>
      <w:r w:rsidR="00704E4C">
        <w:rPr>
          <w:rFonts w:ascii="Times New Roman" w:hAnsi="Times New Roman" w:cs="Times New Roman"/>
          <w:sz w:val="28"/>
          <w:szCs w:val="28"/>
        </w:rPr>
        <w:t xml:space="preserve"> </w:t>
      </w:r>
      <w:r w:rsidR="005650B2">
        <w:rPr>
          <w:rFonts w:ascii="Times New Roman" w:hAnsi="Times New Roman" w:cs="Times New Roman"/>
          <w:sz w:val="28"/>
          <w:szCs w:val="28"/>
          <w:highlight w:val="yellow"/>
        </w:rPr>
        <w:t>Tale norma risponde</w:t>
      </w:r>
      <w:r w:rsidR="00704E4C" w:rsidRPr="00704E4C">
        <w:rPr>
          <w:rFonts w:ascii="Times New Roman" w:hAnsi="Times New Roman" w:cs="Times New Roman"/>
          <w:sz w:val="28"/>
          <w:szCs w:val="28"/>
          <w:highlight w:val="yellow"/>
        </w:rPr>
        <w:t xml:space="preserve"> </w:t>
      </w:r>
      <w:r w:rsidR="005650B2">
        <w:rPr>
          <w:rFonts w:ascii="Times New Roman" w:hAnsi="Times New Roman" w:cs="Times New Roman"/>
          <w:sz w:val="28"/>
          <w:szCs w:val="28"/>
          <w:highlight w:val="yellow"/>
        </w:rPr>
        <w:t>al</w:t>
      </w:r>
      <w:r w:rsidR="00704E4C" w:rsidRPr="00704E4C">
        <w:rPr>
          <w:rFonts w:ascii="Times New Roman" w:hAnsi="Times New Roman" w:cs="Times New Roman"/>
          <w:sz w:val="28"/>
          <w:szCs w:val="28"/>
          <w:highlight w:val="yellow"/>
        </w:rPr>
        <w:t xml:space="preserve">l’esigenza pratica di realizzare la soddisfazione dei creditori il cui credito sia assistito da cause di prelazione prima di tutto sui beni che ne costituiscono l’oggetto. Per raggiungere tale finalità l’art. 2911 c.c. introduce un regime di </w:t>
      </w:r>
      <w:r w:rsidR="00704E4C" w:rsidRPr="00704E4C">
        <w:rPr>
          <w:rFonts w:ascii="Times New Roman" w:hAnsi="Times New Roman" w:cs="Times New Roman"/>
          <w:b/>
          <w:sz w:val="28"/>
          <w:szCs w:val="28"/>
          <w:highlight w:val="yellow"/>
        </w:rPr>
        <w:t xml:space="preserve">impignorabilità relativa </w:t>
      </w:r>
      <w:r w:rsidR="00704E4C" w:rsidRPr="00704E4C">
        <w:rPr>
          <w:rFonts w:ascii="Times New Roman" w:hAnsi="Times New Roman" w:cs="Times New Roman"/>
          <w:sz w:val="28"/>
          <w:szCs w:val="28"/>
          <w:highlight w:val="yellow"/>
        </w:rPr>
        <w:t>per i beni non gravati da diritto reale di garanzia o privilegio speciale</w:t>
      </w:r>
      <w:r w:rsidR="00704E4C" w:rsidRPr="00CB1737">
        <w:rPr>
          <w:rFonts w:ascii="Times New Roman" w:hAnsi="Times New Roman" w:cs="Times New Roman"/>
          <w:sz w:val="28"/>
          <w:szCs w:val="28"/>
          <w:highlight w:val="yellow"/>
        </w:rPr>
        <w:t>. In altre parole, il legislatore non impedisce che i creditori titolari di causa di prelazione si soddisfino su beni diversi da quelli gravati da pegno, ipoteca o siano oggetto privilegio speciale, ma pone come condizione per poter agire su tali beni che l’azione esecutiva sia in corso anche su quelli oggetto di causa di prelazione.</w:t>
      </w:r>
      <w:r w:rsidR="00CB1737" w:rsidRPr="00CB1737">
        <w:rPr>
          <w:rFonts w:ascii="Times New Roman" w:hAnsi="Times New Roman" w:cs="Times New Roman"/>
          <w:sz w:val="28"/>
          <w:szCs w:val="28"/>
          <w:highlight w:val="yellow"/>
        </w:rPr>
        <w:t xml:space="preserve"> Pertanto, si ritiene, che al creditore ipotecario sia inibito l’esercizio dell’azione esecutiva immobiliare sui beni non ipotecati laddove la stessa non sia esercita</w:t>
      </w:r>
      <w:r w:rsidR="006679AD">
        <w:rPr>
          <w:rFonts w:ascii="Times New Roman" w:hAnsi="Times New Roman" w:cs="Times New Roman"/>
          <w:sz w:val="28"/>
          <w:szCs w:val="28"/>
          <w:highlight w:val="yellow"/>
        </w:rPr>
        <w:t>ta anche su quelli ipotecati, tuttavia</w:t>
      </w:r>
      <w:r w:rsidR="00CB1737" w:rsidRPr="00CB1737">
        <w:rPr>
          <w:rFonts w:ascii="Times New Roman" w:hAnsi="Times New Roman" w:cs="Times New Roman"/>
          <w:sz w:val="28"/>
          <w:szCs w:val="28"/>
          <w:highlight w:val="yellow"/>
        </w:rPr>
        <w:t xml:space="preserve"> lo stesso ha la facoltà di promuovere un’espropriazione mobiliare che offre maggiori garanzie di speditezza.</w:t>
      </w:r>
    </w:p>
    <w:p w:rsidR="00682633" w:rsidRPr="007379F2" w:rsidRDefault="00C67E9A" w:rsidP="00032C04">
      <w:pPr>
        <w:spacing w:after="0" w:line="240" w:lineRule="auto"/>
        <w:jc w:val="both"/>
        <w:rPr>
          <w:rFonts w:ascii="Times New Roman" w:hAnsi="Times New Roman" w:cs="Times New Roman"/>
          <w:sz w:val="28"/>
          <w:szCs w:val="28"/>
        </w:rPr>
      </w:pPr>
      <w:r w:rsidRPr="00C67E9A">
        <w:rPr>
          <w:rFonts w:ascii="Times New Roman" w:hAnsi="Times New Roman" w:cs="Times New Roman"/>
          <w:sz w:val="28"/>
          <w:szCs w:val="28"/>
          <w:highlight w:val="yellow"/>
        </w:rPr>
        <w:t xml:space="preserve">Orbene, l’art. 558 </w:t>
      </w:r>
      <w:proofErr w:type="spellStart"/>
      <w:r w:rsidRPr="00C67E9A">
        <w:rPr>
          <w:rFonts w:ascii="Times New Roman" w:hAnsi="Times New Roman" w:cs="Times New Roman"/>
          <w:sz w:val="28"/>
          <w:szCs w:val="28"/>
          <w:highlight w:val="yellow"/>
        </w:rPr>
        <w:t>c.p.c.</w:t>
      </w:r>
      <w:proofErr w:type="spellEnd"/>
      <w:r w:rsidRPr="00C67E9A">
        <w:rPr>
          <w:rFonts w:ascii="Times New Roman" w:hAnsi="Times New Roman" w:cs="Times New Roman"/>
          <w:sz w:val="28"/>
          <w:szCs w:val="28"/>
          <w:highlight w:val="yellow"/>
        </w:rPr>
        <w:t xml:space="preserve"> si riferisce all’ipotesi i</w:t>
      </w:r>
      <w:r>
        <w:rPr>
          <w:rFonts w:ascii="Times New Roman" w:hAnsi="Times New Roman" w:cs="Times New Roman"/>
          <w:sz w:val="28"/>
          <w:szCs w:val="28"/>
          <w:highlight w:val="yellow"/>
        </w:rPr>
        <w:t>n cui non sussistono condizioni</w:t>
      </w:r>
      <w:r w:rsidRPr="00C67E9A">
        <w:rPr>
          <w:rFonts w:ascii="Times New Roman" w:hAnsi="Times New Roman" w:cs="Times New Roman"/>
          <w:sz w:val="28"/>
          <w:szCs w:val="28"/>
          <w:highlight w:val="yellow"/>
        </w:rPr>
        <w:t xml:space="preserve"> di impignorabilità perché nel rispetto dell’art. 2911 c.c. siano stati</w:t>
      </w:r>
      <w:r>
        <w:rPr>
          <w:rFonts w:ascii="Times New Roman" w:hAnsi="Times New Roman" w:cs="Times New Roman"/>
          <w:sz w:val="28"/>
          <w:szCs w:val="28"/>
        </w:rPr>
        <w:t xml:space="preserve"> </w:t>
      </w:r>
      <w:r w:rsidR="00563E88" w:rsidRPr="0051346E">
        <w:rPr>
          <w:rFonts w:ascii="Times New Roman" w:hAnsi="Times New Roman" w:cs="Times New Roman"/>
          <w:b/>
          <w:sz w:val="28"/>
          <w:szCs w:val="28"/>
        </w:rPr>
        <w:t>contemporaneamente</w:t>
      </w:r>
      <w:r w:rsidR="00563E88" w:rsidRPr="00563E88">
        <w:rPr>
          <w:rFonts w:ascii="Times New Roman" w:hAnsi="Times New Roman" w:cs="Times New Roman"/>
          <w:sz w:val="28"/>
          <w:szCs w:val="28"/>
        </w:rPr>
        <w:t xml:space="preserve"> </w:t>
      </w:r>
      <w:r w:rsidR="00563E88" w:rsidRPr="0051346E">
        <w:rPr>
          <w:rFonts w:ascii="Times New Roman" w:hAnsi="Times New Roman" w:cs="Times New Roman"/>
          <w:b/>
          <w:sz w:val="28"/>
          <w:szCs w:val="28"/>
        </w:rPr>
        <w:t>pignorati</w:t>
      </w:r>
      <w:r w:rsidR="00032C04">
        <w:rPr>
          <w:rFonts w:ascii="Times New Roman" w:hAnsi="Times New Roman" w:cs="Times New Roman"/>
          <w:sz w:val="28"/>
          <w:szCs w:val="28"/>
        </w:rPr>
        <w:t xml:space="preserve"> </w:t>
      </w:r>
      <w:r w:rsidR="00032C04" w:rsidRPr="0051346E">
        <w:rPr>
          <w:rFonts w:ascii="Times New Roman" w:hAnsi="Times New Roman" w:cs="Times New Roman"/>
          <w:b/>
          <w:sz w:val="28"/>
          <w:szCs w:val="28"/>
        </w:rPr>
        <w:t>beni ipotecati e non ipotecati</w:t>
      </w:r>
      <w:r>
        <w:rPr>
          <w:rFonts w:ascii="Times New Roman" w:hAnsi="Times New Roman" w:cs="Times New Roman"/>
          <w:b/>
          <w:sz w:val="28"/>
          <w:szCs w:val="28"/>
        </w:rPr>
        <w:t>.</w:t>
      </w:r>
      <w:r w:rsidR="00AD0437">
        <w:rPr>
          <w:rFonts w:ascii="Times New Roman" w:hAnsi="Times New Roman" w:cs="Times New Roman"/>
          <w:sz w:val="28"/>
          <w:szCs w:val="28"/>
        </w:rPr>
        <w:t xml:space="preserve"> </w:t>
      </w:r>
      <w:r w:rsidR="004F2DF2" w:rsidRPr="004F2DF2">
        <w:rPr>
          <w:rFonts w:ascii="Times New Roman" w:hAnsi="Times New Roman" w:cs="Times New Roman"/>
          <w:sz w:val="28"/>
          <w:szCs w:val="28"/>
          <w:highlight w:val="yellow"/>
        </w:rPr>
        <w:t xml:space="preserve">Operando, perciò, all’interno di un processo esecutivo </w:t>
      </w:r>
      <w:r w:rsidR="004F2DF2">
        <w:rPr>
          <w:rFonts w:ascii="Times New Roman" w:hAnsi="Times New Roman" w:cs="Times New Roman"/>
          <w:sz w:val="28"/>
          <w:szCs w:val="28"/>
          <w:highlight w:val="yellow"/>
        </w:rPr>
        <w:t xml:space="preserve">in sé </w:t>
      </w:r>
      <w:r w:rsidR="004F2DF2" w:rsidRPr="004F2DF2">
        <w:rPr>
          <w:rFonts w:ascii="Times New Roman" w:hAnsi="Times New Roman" w:cs="Times New Roman"/>
          <w:sz w:val="28"/>
          <w:szCs w:val="28"/>
          <w:highlight w:val="yellow"/>
        </w:rPr>
        <w:t>legittimamente instaurato, la disposizione in esame</w:t>
      </w:r>
      <w:r w:rsidR="00032C04">
        <w:rPr>
          <w:rFonts w:ascii="Times New Roman" w:hAnsi="Times New Roman" w:cs="Times New Roman"/>
          <w:sz w:val="28"/>
          <w:szCs w:val="28"/>
        </w:rPr>
        <w:t xml:space="preserve"> consente</w:t>
      </w:r>
      <w:r w:rsidR="00563E88" w:rsidRPr="00563E88">
        <w:rPr>
          <w:rFonts w:ascii="Times New Roman" w:hAnsi="Times New Roman" w:cs="Times New Roman"/>
          <w:sz w:val="28"/>
          <w:szCs w:val="28"/>
        </w:rPr>
        <w:t xml:space="preserve"> </w:t>
      </w:r>
      <w:r w:rsidR="00032C04">
        <w:rPr>
          <w:rFonts w:ascii="Times New Roman" w:hAnsi="Times New Roman" w:cs="Times New Roman"/>
          <w:sz w:val="28"/>
          <w:szCs w:val="28"/>
        </w:rPr>
        <w:t>a</w:t>
      </w:r>
      <w:r w:rsidR="00563E88" w:rsidRPr="00563E88">
        <w:rPr>
          <w:rFonts w:ascii="Times New Roman" w:hAnsi="Times New Roman" w:cs="Times New Roman"/>
          <w:sz w:val="28"/>
          <w:szCs w:val="28"/>
        </w:rPr>
        <w:t xml:space="preserve">l giudice </w:t>
      </w:r>
      <w:r w:rsidR="00032C04">
        <w:rPr>
          <w:rFonts w:ascii="Times New Roman" w:hAnsi="Times New Roman" w:cs="Times New Roman"/>
          <w:sz w:val="28"/>
          <w:szCs w:val="28"/>
        </w:rPr>
        <w:t xml:space="preserve">di </w:t>
      </w:r>
      <w:r w:rsidR="00563E88" w:rsidRPr="00563E88">
        <w:rPr>
          <w:rFonts w:ascii="Times New Roman" w:hAnsi="Times New Roman" w:cs="Times New Roman"/>
          <w:sz w:val="28"/>
          <w:szCs w:val="28"/>
        </w:rPr>
        <w:t>ridurre il pignoramento</w:t>
      </w:r>
      <w:r w:rsidR="00032C04">
        <w:rPr>
          <w:rFonts w:ascii="Times New Roman" w:hAnsi="Times New Roman" w:cs="Times New Roman"/>
          <w:sz w:val="28"/>
          <w:szCs w:val="28"/>
        </w:rPr>
        <w:t xml:space="preserve"> </w:t>
      </w:r>
      <w:r w:rsidR="00032C04" w:rsidRPr="00394B70">
        <w:rPr>
          <w:rFonts w:ascii="Times New Roman" w:hAnsi="Times New Roman" w:cs="Times New Roman"/>
          <w:sz w:val="28"/>
          <w:szCs w:val="28"/>
        </w:rPr>
        <w:t>→</w:t>
      </w:r>
      <w:r w:rsidR="00032C04">
        <w:rPr>
          <w:rFonts w:ascii="Times New Roman" w:hAnsi="Times New Roman" w:cs="Times New Roman"/>
          <w:sz w:val="28"/>
          <w:szCs w:val="28"/>
        </w:rPr>
        <w:t xml:space="preserve"> art. 496,</w:t>
      </w:r>
      <w:r w:rsidR="00563E88" w:rsidRPr="00563E88">
        <w:rPr>
          <w:rFonts w:ascii="Times New Roman" w:hAnsi="Times New Roman" w:cs="Times New Roman"/>
          <w:sz w:val="28"/>
          <w:szCs w:val="28"/>
        </w:rPr>
        <w:t xml:space="preserve"> oppure</w:t>
      </w:r>
      <w:r w:rsidR="00AD0437">
        <w:rPr>
          <w:rFonts w:ascii="Times New Roman" w:hAnsi="Times New Roman" w:cs="Times New Roman"/>
          <w:sz w:val="28"/>
          <w:szCs w:val="28"/>
        </w:rPr>
        <w:t xml:space="preserve"> di</w:t>
      </w:r>
      <w:r w:rsidR="00563E88" w:rsidRPr="00563E88">
        <w:rPr>
          <w:rFonts w:ascii="Times New Roman" w:hAnsi="Times New Roman" w:cs="Times New Roman"/>
          <w:sz w:val="28"/>
          <w:szCs w:val="28"/>
        </w:rPr>
        <w:t xml:space="preserve"> procedere prima alla vendita dei beni ipotecati, e successivamente, in caso di incapienza, a quella dei beni liberi, anche se nel nostro o</w:t>
      </w:r>
      <w:r w:rsidR="00032C04">
        <w:rPr>
          <w:rFonts w:ascii="Times New Roman" w:hAnsi="Times New Roman" w:cs="Times New Roman"/>
          <w:sz w:val="28"/>
          <w:szCs w:val="28"/>
        </w:rPr>
        <w:t>rdinamento non esiste una norma</w:t>
      </w:r>
      <w:r w:rsidR="00563E88" w:rsidRPr="00563E88">
        <w:rPr>
          <w:rFonts w:ascii="Times New Roman" w:hAnsi="Times New Roman" w:cs="Times New Roman"/>
          <w:sz w:val="28"/>
          <w:szCs w:val="28"/>
        </w:rPr>
        <w:t xml:space="preserve"> che subordini l</w:t>
      </w:r>
      <w:r w:rsidR="0051346E">
        <w:rPr>
          <w:rFonts w:ascii="Times New Roman" w:hAnsi="Times New Roman" w:cs="Times New Roman"/>
          <w:sz w:val="28"/>
          <w:szCs w:val="28"/>
        </w:rPr>
        <w:t>’</w:t>
      </w:r>
      <w:r w:rsidR="00563E88" w:rsidRPr="00563E88">
        <w:rPr>
          <w:rFonts w:ascii="Times New Roman" w:hAnsi="Times New Roman" w:cs="Times New Roman"/>
          <w:sz w:val="28"/>
          <w:szCs w:val="28"/>
        </w:rPr>
        <w:t>espropriazione dei beni non ipotecati all</w:t>
      </w:r>
      <w:r w:rsidR="0051346E">
        <w:rPr>
          <w:rFonts w:ascii="Times New Roman" w:hAnsi="Times New Roman" w:cs="Times New Roman"/>
          <w:sz w:val="28"/>
          <w:szCs w:val="28"/>
        </w:rPr>
        <w:t>’</w:t>
      </w:r>
      <w:r w:rsidR="00563E88" w:rsidRPr="00563E88">
        <w:rPr>
          <w:rFonts w:ascii="Times New Roman" w:hAnsi="Times New Roman" w:cs="Times New Roman"/>
          <w:sz w:val="28"/>
          <w:szCs w:val="28"/>
        </w:rPr>
        <w:t>insuf</w:t>
      </w:r>
      <w:r w:rsidR="00E01A79">
        <w:rPr>
          <w:rFonts w:ascii="Times New Roman" w:hAnsi="Times New Roman" w:cs="Times New Roman"/>
          <w:sz w:val="28"/>
          <w:szCs w:val="28"/>
        </w:rPr>
        <w:t xml:space="preserve">ficienza </w:t>
      </w:r>
      <w:r w:rsidR="00AD0437">
        <w:rPr>
          <w:rFonts w:ascii="Times New Roman" w:hAnsi="Times New Roman" w:cs="Times New Roman"/>
          <w:sz w:val="28"/>
          <w:szCs w:val="28"/>
        </w:rPr>
        <w:t>di quelli</w:t>
      </w:r>
      <w:r w:rsidR="00E01A79">
        <w:rPr>
          <w:rFonts w:ascii="Times New Roman" w:hAnsi="Times New Roman" w:cs="Times New Roman"/>
          <w:sz w:val="28"/>
          <w:szCs w:val="28"/>
        </w:rPr>
        <w:t xml:space="preserve"> ipotecati</w:t>
      </w:r>
      <w:r w:rsidR="00563E88" w:rsidRPr="00563E88">
        <w:rPr>
          <w:rFonts w:ascii="Times New Roman" w:hAnsi="Times New Roman" w:cs="Times New Roman"/>
          <w:sz w:val="28"/>
          <w:szCs w:val="28"/>
        </w:rPr>
        <w:t xml:space="preserve">. </w:t>
      </w:r>
      <w:r w:rsidR="00032C04">
        <w:rPr>
          <w:rFonts w:ascii="Times New Roman" w:hAnsi="Times New Roman" w:cs="Times New Roman"/>
          <w:sz w:val="28"/>
          <w:szCs w:val="28"/>
        </w:rPr>
        <w:t xml:space="preserve">La </w:t>
      </w:r>
      <w:r w:rsidR="00032C04">
        <w:rPr>
          <w:rFonts w:ascii="Times New Roman" w:hAnsi="Times New Roman" w:cs="Times New Roman"/>
          <w:i/>
          <w:sz w:val="28"/>
          <w:szCs w:val="28"/>
        </w:rPr>
        <w:t>ratio</w:t>
      </w:r>
      <w:r w:rsidR="00032C04">
        <w:rPr>
          <w:rFonts w:ascii="Times New Roman" w:hAnsi="Times New Roman" w:cs="Times New Roman"/>
          <w:sz w:val="28"/>
          <w:szCs w:val="28"/>
        </w:rPr>
        <w:t xml:space="preserve"> consiste nell</w:t>
      </w:r>
      <w:r w:rsidR="0051346E">
        <w:rPr>
          <w:rFonts w:ascii="Times New Roman" w:hAnsi="Times New Roman" w:cs="Times New Roman"/>
          <w:sz w:val="28"/>
          <w:szCs w:val="28"/>
        </w:rPr>
        <w:t>’</w:t>
      </w:r>
      <w:r w:rsidR="00563E88" w:rsidRPr="00563E88">
        <w:rPr>
          <w:rFonts w:ascii="Times New Roman" w:hAnsi="Times New Roman" w:cs="Times New Roman"/>
          <w:sz w:val="28"/>
          <w:szCs w:val="28"/>
        </w:rPr>
        <w:t>evitare che venga espropriato l</w:t>
      </w:r>
      <w:r w:rsidR="0051346E">
        <w:rPr>
          <w:rFonts w:ascii="Times New Roman" w:hAnsi="Times New Roman" w:cs="Times New Roman"/>
          <w:sz w:val="28"/>
          <w:szCs w:val="28"/>
        </w:rPr>
        <w:t>’</w:t>
      </w:r>
      <w:r w:rsidR="00563E88" w:rsidRPr="00563E88">
        <w:rPr>
          <w:rFonts w:ascii="Times New Roman" w:hAnsi="Times New Roman" w:cs="Times New Roman"/>
          <w:sz w:val="28"/>
          <w:szCs w:val="28"/>
        </w:rPr>
        <w:t xml:space="preserve">immobile libero </w:t>
      </w:r>
      <w:r w:rsidR="00032C04">
        <w:rPr>
          <w:rFonts w:ascii="Times New Roman" w:hAnsi="Times New Roman" w:cs="Times New Roman"/>
          <w:sz w:val="28"/>
          <w:szCs w:val="28"/>
        </w:rPr>
        <w:t>qualora</w:t>
      </w:r>
      <w:r w:rsidR="00563E88" w:rsidRPr="00563E88">
        <w:rPr>
          <w:rFonts w:ascii="Times New Roman" w:hAnsi="Times New Roman" w:cs="Times New Roman"/>
          <w:sz w:val="28"/>
          <w:szCs w:val="28"/>
        </w:rPr>
        <w:t xml:space="preserve"> con il ricavato di quelli gravati da garanzia il creditore</w:t>
      </w:r>
      <w:r w:rsidR="00032C04">
        <w:rPr>
          <w:rFonts w:ascii="Times New Roman" w:hAnsi="Times New Roman" w:cs="Times New Roman"/>
          <w:sz w:val="28"/>
          <w:szCs w:val="28"/>
        </w:rPr>
        <w:t xml:space="preserve"> possa essere soddisfatto.</w:t>
      </w:r>
      <w:r w:rsidR="004F2DF2">
        <w:rPr>
          <w:rFonts w:ascii="Times New Roman" w:hAnsi="Times New Roman" w:cs="Times New Roman"/>
          <w:sz w:val="28"/>
          <w:szCs w:val="28"/>
        </w:rPr>
        <w:t xml:space="preserve"> </w:t>
      </w:r>
      <w:r w:rsidR="004F2DF2" w:rsidRPr="004F2DF2">
        <w:rPr>
          <w:rFonts w:ascii="Times New Roman" w:hAnsi="Times New Roman" w:cs="Times New Roman"/>
          <w:sz w:val="28"/>
          <w:szCs w:val="28"/>
          <w:highlight w:val="yellow"/>
        </w:rPr>
        <w:t>In buona sostanza, il giudice di ufficio o su sollecitazione del debitore, assume l’iniziativa di guidare l’azione esecutiva in modo da evitare che essa sia esercitata in eccesso garantendo allo stesso tempo che l’espropriazione abbia luogo preferibilmente sui beni ipotecati</w:t>
      </w:r>
      <w:r w:rsidR="004F2DF2" w:rsidRPr="00954343">
        <w:rPr>
          <w:rFonts w:ascii="Times New Roman" w:hAnsi="Times New Roman" w:cs="Times New Roman"/>
          <w:sz w:val="28"/>
          <w:szCs w:val="28"/>
          <w:highlight w:val="yellow"/>
        </w:rPr>
        <w:t xml:space="preserve">. A </w:t>
      </w:r>
      <w:r w:rsidR="00D82B69" w:rsidRPr="00954343">
        <w:rPr>
          <w:rFonts w:ascii="Times New Roman" w:hAnsi="Times New Roman" w:cs="Times New Roman"/>
          <w:sz w:val="28"/>
          <w:szCs w:val="28"/>
          <w:highlight w:val="yellow"/>
        </w:rPr>
        <w:t xml:space="preserve">questo fine il giudice ha </w:t>
      </w:r>
      <w:r w:rsidR="00D82B69" w:rsidRPr="00B234D2">
        <w:rPr>
          <w:rFonts w:ascii="Times New Roman" w:hAnsi="Times New Roman" w:cs="Times New Roman"/>
          <w:b/>
          <w:sz w:val="28"/>
          <w:szCs w:val="28"/>
          <w:highlight w:val="yellow"/>
        </w:rPr>
        <w:t>due alternative</w:t>
      </w:r>
      <w:bookmarkStart w:id="0" w:name="_GoBack"/>
      <w:bookmarkEnd w:id="0"/>
      <w:r w:rsidR="00D82B69" w:rsidRPr="00954343">
        <w:rPr>
          <w:rFonts w:ascii="Times New Roman" w:hAnsi="Times New Roman" w:cs="Times New Roman"/>
          <w:sz w:val="28"/>
          <w:szCs w:val="28"/>
          <w:highlight w:val="yellow"/>
        </w:rPr>
        <w:t xml:space="preserve">, applicare l’art. 496 e ridurre il pignoramento, quando il valore dei beni ipotecati sia idoneo a soddisfare le pretese </w:t>
      </w:r>
      <w:r w:rsidR="00212E13">
        <w:rPr>
          <w:rFonts w:ascii="Times New Roman" w:hAnsi="Times New Roman" w:cs="Times New Roman"/>
          <w:sz w:val="28"/>
          <w:szCs w:val="28"/>
          <w:highlight w:val="yellow"/>
        </w:rPr>
        <w:t>di tutti i creditori concorrenti o,</w:t>
      </w:r>
      <w:r w:rsidR="00D82B69" w:rsidRPr="00954343">
        <w:rPr>
          <w:rFonts w:ascii="Times New Roman" w:hAnsi="Times New Roman" w:cs="Times New Roman"/>
          <w:sz w:val="28"/>
          <w:szCs w:val="28"/>
          <w:highlight w:val="yellow"/>
        </w:rPr>
        <w:t xml:space="preserve"> se ciò non è così manifesto</w:t>
      </w:r>
      <w:r w:rsidR="00212E13">
        <w:rPr>
          <w:rFonts w:ascii="Times New Roman" w:hAnsi="Times New Roman" w:cs="Times New Roman"/>
          <w:sz w:val="28"/>
          <w:szCs w:val="28"/>
          <w:highlight w:val="yellow"/>
        </w:rPr>
        <w:t>,</w:t>
      </w:r>
      <w:r w:rsidR="00D82B69" w:rsidRPr="00954343">
        <w:rPr>
          <w:rFonts w:ascii="Times New Roman" w:hAnsi="Times New Roman" w:cs="Times New Roman"/>
          <w:sz w:val="28"/>
          <w:szCs w:val="28"/>
          <w:highlight w:val="yellow"/>
        </w:rPr>
        <w:t xml:space="preserve"> può sospendere la vendita dei beni non ipotecati</w:t>
      </w:r>
      <w:r w:rsidR="005650B2">
        <w:rPr>
          <w:rFonts w:ascii="Times New Roman" w:hAnsi="Times New Roman" w:cs="Times New Roman"/>
          <w:sz w:val="28"/>
          <w:szCs w:val="28"/>
          <w:highlight w:val="yellow"/>
        </w:rPr>
        <w:t>,</w:t>
      </w:r>
      <w:r w:rsidR="00D82B69" w:rsidRPr="00954343">
        <w:rPr>
          <w:rFonts w:ascii="Times New Roman" w:hAnsi="Times New Roman" w:cs="Times New Roman"/>
          <w:sz w:val="28"/>
          <w:szCs w:val="28"/>
          <w:highlight w:val="yellow"/>
        </w:rPr>
        <w:t xml:space="preserve"> sino al compimento </w:t>
      </w:r>
      <w:r w:rsidR="00954343" w:rsidRPr="00954343">
        <w:rPr>
          <w:rFonts w:ascii="Times New Roman" w:hAnsi="Times New Roman" w:cs="Times New Roman"/>
          <w:sz w:val="28"/>
          <w:szCs w:val="28"/>
          <w:highlight w:val="yellow"/>
        </w:rPr>
        <w:t>di quella degli immobili ipotecati</w:t>
      </w:r>
      <w:r w:rsidR="005650B2">
        <w:rPr>
          <w:rFonts w:ascii="Times New Roman" w:hAnsi="Times New Roman" w:cs="Times New Roman"/>
          <w:sz w:val="28"/>
          <w:szCs w:val="28"/>
          <w:highlight w:val="yellow"/>
        </w:rPr>
        <w:t>, per</w:t>
      </w:r>
      <w:r w:rsidR="00954343" w:rsidRPr="00954343">
        <w:rPr>
          <w:rFonts w:ascii="Times New Roman" w:hAnsi="Times New Roman" w:cs="Times New Roman"/>
          <w:sz w:val="28"/>
          <w:szCs w:val="28"/>
          <w:highlight w:val="yellow"/>
        </w:rPr>
        <w:t xml:space="preserve"> verificare all’esito che il ricavato possa soddisfare tutti i creditori intervenuti</w:t>
      </w:r>
      <w:r w:rsidR="00954343" w:rsidRPr="006F006D">
        <w:rPr>
          <w:rFonts w:ascii="Times New Roman" w:hAnsi="Times New Roman" w:cs="Times New Roman"/>
          <w:sz w:val="28"/>
          <w:szCs w:val="28"/>
          <w:highlight w:val="yellow"/>
        </w:rPr>
        <w:t>.</w:t>
      </w:r>
      <w:r w:rsidR="004F2DF2" w:rsidRPr="006F006D">
        <w:rPr>
          <w:rFonts w:ascii="Times New Roman" w:hAnsi="Times New Roman" w:cs="Times New Roman"/>
          <w:sz w:val="28"/>
          <w:szCs w:val="28"/>
          <w:highlight w:val="yellow"/>
        </w:rPr>
        <w:t xml:space="preserve">  </w:t>
      </w:r>
      <w:r w:rsidR="00D11905" w:rsidRPr="006F006D">
        <w:rPr>
          <w:rFonts w:ascii="Times New Roman" w:hAnsi="Times New Roman" w:cs="Times New Roman"/>
          <w:sz w:val="28"/>
          <w:szCs w:val="28"/>
          <w:highlight w:val="yellow"/>
        </w:rPr>
        <w:t>Se il giudice sceglie di sospendere la vendita dei beni non ipotecati, la sospensione durerà fino al compimento dell’espropriazione di quelli ipotecati; dopo di che, a</w:t>
      </w:r>
      <w:r w:rsidR="00212E13">
        <w:rPr>
          <w:rFonts w:ascii="Times New Roman" w:hAnsi="Times New Roman" w:cs="Times New Roman"/>
          <w:sz w:val="28"/>
          <w:szCs w:val="28"/>
          <w:highlight w:val="yellow"/>
        </w:rPr>
        <w:t xml:space="preserve"> seconda che la somma ricavata sia o non sia</w:t>
      </w:r>
      <w:r w:rsidR="00D11905" w:rsidRPr="006F006D">
        <w:rPr>
          <w:rFonts w:ascii="Times New Roman" w:hAnsi="Times New Roman" w:cs="Times New Roman"/>
          <w:sz w:val="28"/>
          <w:szCs w:val="28"/>
          <w:highlight w:val="yellow"/>
        </w:rPr>
        <w:t xml:space="preserve"> sufficiente a coprire le spese e i crediti per cui si procede, gli immobili non ipotecati si liberano dal vincolo del pignoramento, oppure si ordina la loro vendita.</w:t>
      </w:r>
    </w:p>
    <w:p w:rsidR="00032C04" w:rsidRDefault="005650B2" w:rsidP="00032C04">
      <w:pPr>
        <w:spacing w:after="0" w:line="240" w:lineRule="auto"/>
        <w:jc w:val="both"/>
        <w:rPr>
          <w:rFonts w:ascii="Times New Roman" w:hAnsi="Times New Roman" w:cs="Times New Roman"/>
          <w:sz w:val="28"/>
          <w:szCs w:val="28"/>
        </w:rPr>
      </w:pPr>
      <w:r w:rsidRPr="00BE6002">
        <w:rPr>
          <w:rFonts w:ascii="Times New Roman" w:hAnsi="Times New Roman" w:cs="Times New Roman"/>
          <w:sz w:val="28"/>
          <w:szCs w:val="28"/>
          <w:highlight w:val="yellow"/>
        </w:rPr>
        <w:lastRenderedPageBreak/>
        <w:t>Si discute se</w:t>
      </w:r>
      <w:r w:rsidR="00032C04">
        <w:rPr>
          <w:rFonts w:ascii="Times New Roman" w:hAnsi="Times New Roman" w:cs="Times New Roman"/>
          <w:sz w:val="28"/>
          <w:szCs w:val="28"/>
        </w:rPr>
        <w:t xml:space="preserve"> la riduzione del pignoramento possa essere dispo</w:t>
      </w:r>
      <w:r>
        <w:rPr>
          <w:rFonts w:ascii="Times New Roman" w:hAnsi="Times New Roman" w:cs="Times New Roman"/>
          <w:sz w:val="28"/>
          <w:szCs w:val="28"/>
        </w:rPr>
        <w:t>sta anche quando risulti</w:t>
      </w:r>
      <w:r w:rsidR="00E01A79">
        <w:rPr>
          <w:rFonts w:ascii="Times New Roman" w:hAnsi="Times New Roman" w:cs="Times New Roman"/>
          <w:sz w:val="28"/>
          <w:szCs w:val="28"/>
        </w:rPr>
        <w:t>no pignorati</w:t>
      </w:r>
      <w:r w:rsidR="00032C04">
        <w:rPr>
          <w:rFonts w:ascii="Times New Roman" w:hAnsi="Times New Roman" w:cs="Times New Roman"/>
          <w:sz w:val="28"/>
          <w:szCs w:val="28"/>
        </w:rPr>
        <w:t xml:space="preserve"> più beni ipotecati</w:t>
      </w:r>
      <w:r>
        <w:rPr>
          <w:rFonts w:ascii="Times New Roman" w:hAnsi="Times New Roman" w:cs="Times New Roman"/>
          <w:sz w:val="28"/>
          <w:szCs w:val="28"/>
        </w:rPr>
        <w:t xml:space="preserve">, </w:t>
      </w:r>
      <w:proofErr w:type="spellStart"/>
      <w:r>
        <w:rPr>
          <w:rFonts w:ascii="Times New Roman" w:hAnsi="Times New Roman" w:cs="Times New Roman"/>
          <w:sz w:val="28"/>
          <w:szCs w:val="28"/>
        </w:rPr>
        <w:t>perchè</w:t>
      </w:r>
      <w:proofErr w:type="spellEnd"/>
      <w:r w:rsidR="00E01A79">
        <w:rPr>
          <w:rFonts w:ascii="Times New Roman" w:hAnsi="Times New Roman" w:cs="Times New Roman"/>
          <w:sz w:val="28"/>
          <w:szCs w:val="28"/>
        </w:rPr>
        <w:t xml:space="preserve"> in questo caso</w:t>
      </w:r>
      <w:r w:rsidR="00032C04">
        <w:rPr>
          <w:rFonts w:ascii="Times New Roman" w:hAnsi="Times New Roman" w:cs="Times New Roman"/>
          <w:smallCaps/>
          <w:sz w:val="28"/>
          <w:szCs w:val="28"/>
        </w:rPr>
        <w:t xml:space="preserve"> </w:t>
      </w:r>
      <w:r w:rsidR="00E01A79">
        <w:rPr>
          <w:rFonts w:ascii="Times New Roman" w:hAnsi="Times New Roman" w:cs="Times New Roman"/>
          <w:sz w:val="28"/>
          <w:szCs w:val="28"/>
        </w:rPr>
        <w:t>dovrebbe</w:t>
      </w:r>
      <w:r w:rsidR="00032C04">
        <w:rPr>
          <w:rFonts w:ascii="Times New Roman" w:hAnsi="Times New Roman" w:cs="Times New Roman"/>
          <w:sz w:val="28"/>
          <w:szCs w:val="28"/>
        </w:rPr>
        <w:t xml:space="preserve"> trovare applicazione la previsione relativa alla riduzione delle ipoteche </w:t>
      </w:r>
      <w:r w:rsidR="00032C04" w:rsidRPr="00394B70">
        <w:rPr>
          <w:rFonts w:ascii="Times New Roman" w:hAnsi="Times New Roman" w:cs="Times New Roman"/>
          <w:sz w:val="28"/>
          <w:szCs w:val="28"/>
        </w:rPr>
        <w:t>→</w:t>
      </w:r>
      <w:r w:rsidR="00032C04">
        <w:rPr>
          <w:rFonts w:ascii="Times New Roman" w:hAnsi="Times New Roman" w:cs="Times New Roman"/>
          <w:sz w:val="28"/>
          <w:szCs w:val="28"/>
        </w:rPr>
        <w:t xml:space="preserve"> art. 2782 ss. c.c.</w:t>
      </w:r>
    </w:p>
    <w:p w:rsidR="00032C04" w:rsidRPr="00032C04" w:rsidRDefault="00032C04" w:rsidP="00032C04">
      <w:pPr>
        <w:spacing w:after="0" w:line="240" w:lineRule="auto"/>
        <w:jc w:val="both"/>
        <w:rPr>
          <w:rFonts w:ascii="Times New Roman" w:hAnsi="Times New Roman" w:cs="Times New Roman"/>
          <w:sz w:val="28"/>
          <w:szCs w:val="28"/>
        </w:rPr>
      </w:pPr>
      <w:r w:rsidRPr="00BE6002">
        <w:rPr>
          <w:rFonts w:ascii="Times New Roman" w:hAnsi="Times New Roman" w:cs="Times New Roman"/>
          <w:sz w:val="28"/>
          <w:szCs w:val="28"/>
          <w:highlight w:val="yellow"/>
        </w:rPr>
        <w:t>Si ritiene che l</w:t>
      </w:r>
      <w:r w:rsidR="0051346E" w:rsidRPr="00BE6002">
        <w:rPr>
          <w:rFonts w:ascii="Times New Roman" w:hAnsi="Times New Roman" w:cs="Times New Roman"/>
          <w:sz w:val="28"/>
          <w:szCs w:val="28"/>
          <w:highlight w:val="yellow"/>
        </w:rPr>
        <w:t>’</w:t>
      </w:r>
      <w:r w:rsidRPr="00BE6002">
        <w:rPr>
          <w:rFonts w:ascii="Times New Roman" w:hAnsi="Times New Roman" w:cs="Times New Roman"/>
          <w:sz w:val="28"/>
          <w:szCs w:val="28"/>
          <w:highlight w:val="yellow"/>
        </w:rPr>
        <w:t xml:space="preserve">ordinanza di sospensione o di riduzione </w:t>
      </w:r>
      <w:r w:rsidR="00212E13">
        <w:rPr>
          <w:rFonts w:ascii="Times New Roman" w:hAnsi="Times New Roman" w:cs="Times New Roman"/>
          <w:sz w:val="28"/>
          <w:szCs w:val="28"/>
          <w:highlight w:val="yellow"/>
        </w:rPr>
        <w:t>debba essere</w:t>
      </w:r>
      <w:r w:rsidR="00BE6002" w:rsidRPr="00BE6002">
        <w:rPr>
          <w:rFonts w:ascii="Times New Roman" w:hAnsi="Times New Roman" w:cs="Times New Roman"/>
          <w:sz w:val="28"/>
          <w:szCs w:val="28"/>
          <w:highlight w:val="yellow"/>
        </w:rPr>
        <w:t xml:space="preserve"> emanata previa convocazione dei creditori concorrenti e del debitore, che sia modificabile e revocabile</w:t>
      </w:r>
      <w:r w:rsidRPr="00BE6002">
        <w:rPr>
          <w:rFonts w:ascii="Times New Roman" w:hAnsi="Times New Roman" w:cs="Times New Roman"/>
          <w:sz w:val="28"/>
          <w:szCs w:val="28"/>
          <w:highlight w:val="yellow"/>
        </w:rPr>
        <w:t xml:space="preserve">, </w:t>
      </w:r>
      <w:r w:rsidR="007F70D2" w:rsidRPr="00BE6002">
        <w:rPr>
          <w:rFonts w:ascii="Times New Roman" w:hAnsi="Times New Roman" w:cs="Times New Roman"/>
          <w:sz w:val="28"/>
          <w:szCs w:val="28"/>
          <w:highlight w:val="yellow"/>
        </w:rPr>
        <w:t>ferma restando l</w:t>
      </w:r>
      <w:r w:rsidR="0051346E" w:rsidRPr="00BE6002">
        <w:rPr>
          <w:rFonts w:ascii="Times New Roman" w:hAnsi="Times New Roman" w:cs="Times New Roman"/>
          <w:sz w:val="28"/>
          <w:szCs w:val="28"/>
          <w:highlight w:val="yellow"/>
        </w:rPr>
        <w:t>’</w:t>
      </w:r>
      <w:proofErr w:type="spellStart"/>
      <w:r w:rsidR="007F70D2" w:rsidRPr="00BE6002">
        <w:rPr>
          <w:rFonts w:ascii="Times New Roman" w:hAnsi="Times New Roman" w:cs="Times New Roman"/>
          <w:sz w:val="28"/>
          <w:szCs w:val="28"/>
          <w:highlight w:val="yellow"/>
        </w:rPr>
        <w:t>esperibilità</w:t>
      </w:r>
      <w:proofErr w:type="spellEnd"/>
      <w:r w:rsidR="007F70D2" w:rsidRPr="00BE6002">
        <w:rPr>
          <w:rFonts w:ascii="Times New Roman" w:hAnsi="Times New Roman" w:cs="Times New Roman"/>
          <w:sz w:val="28"/>
          <w:szCs w:val="28"/>
          <w:highlight w:val="yellow"/>
        </w:rPr>
        <w:t xml:space="preserve"> dell</w:t>
      </w:r>
      <w:r w:rsidR="0051346E" w:rsidRPr="00BE6002">
        <w:rPr>
          <w:rFonts w:ascii="Times New Roman" w:hAnsi="Times New Roman" w:cs="Times New Roman"/>
          <w:sz w:val="28"/>
          <w:szCs w:val="28"/>
          <w:highlight w:val="yellow"/>
        </w:rPr>
        <w:t>’</w:t>
      </w:r>
      <w:r w:rsidR="007F70D2" w:rsidRPr="00BE6002">
        <w:rPr>
          <w:rFonts w:ascii="Times New Roman" w:hAnsi="Times New Roman" w:cs="Times New Roman"/>
          <w:sz w:val="28"/>
          <w:szCs w:val="28"/>
          <w:highlight w:val="yellow"/>
        </w:rPr>
        <w:t>opposizione agli atti esecutivi → art. 617.</w:t>
      </w:r>
    </w:p>
    <w:sectPr w:rsidR="00032C04" w:rsidRPr="00032C04">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2A39"/>
    <w:rsid w:val="00032C04"/>
    <w:rsid w:val="000B49D0"/>
    <w:rsid w:val="000D3EDA"/>
    <w:rsid w:val="001518F4"/>
    <w:rsid w:val="00185709"/>
    <w:rsid w:val="00192C97"/>
    <w:rsid w:val="00194379"/>
    <w:rsid w:val="001E0B6D"/>
    <w:rsid w:val="001F181E"/>
    <w:rsid w:val="00212E13"/>
    <w:rsid w:val="00227A00"/>
    <w:rsid w:val="002523B3"/>
    <w:rsid w:val="00327CB2"/>
    <w:rsid w:val="00382EC9"/>
    <w:rsid w:val="00394B70"/>
    <w:rsid w:val="00413CAC"/>
    <w:rsid w:val="004156EF"/>
    <w:rsid w:val="00453220"/>
    <w:rsid w:val="004D51DC"/>
    <w:rsid w:val="004F2DF2"/>
    <w:rsid w:val="004F6996"/>
    <w:rsid w:val="004F7246"/>
    <w:rsid w:val="0051346E"/>
    <w:rsid w:val="00563E88"/>
    <w:rsid w:val="005650B2"/>
    <w:rsid w:val="005B1476"/>
    <w:rsid w:val="006439F1"/>
    <w:rsid w:val="006679AD"/>
    <w:rsid w:val="00682633"/>
    <w:rsid w:val="0069194D"/>
    <w:rsid w:val="006A194A"/>
    <w:rsid w:val="006F006D"/>
    <w:rsid w:val="00704E4C"/>
    <w:rsid w:val="007379F2"/>
    <w:rsid w:val="007622D3"/>
    <w:rsid w:val="007F70D2"/>
    <w:rsid w:val="00954343"/>
    <w:rsid w:val="0097394E"/>
    <w:rsid w:val="009D1AC9"/>
    <w:rsid w:val="00A01142"/>
    <w:rsid w:val="00A02D89"/>
    <w:rsid w:val="00A34295"/>
    <w:rsid w:val="00A42A39"/>
    <w:rsid w:val="00AC568D"/>
    <w:rsid w:val="00AD0437"/>
    <w:rsid w:val="00AD3256"/>
    <w:rsid w:val="00AD4E17"/>
    <w:rsid w:val="00AE6FFA"/>
    <w:rsid w:val="00B22A88"/>
    <w:rsid w:val="00B234D2"/>
    <w:rsid w:val="00B349AC"/>
    <w:rsid w:val="00B57004"/>
    <w:rsid w:val="00BE22D0"/>
    <w:rsid w:val="00BE6002"/>
    <w:rsid w:val="00C67E9A"/>
    <w:rsid w:val="00C94991"/>
    <w:rsid w:val="00CB1737"/>
    <w:rsid w:val="00CC0533"/>
    <w:rsid w:val="00D11905"/>
    <w:rsid w:val="00D23869"/>
    <w:rsid w:val="00D41E45"/>
    <w:rsid w:val="00D82B69"/>
    <w:rsid w:val="00E01A79"/>
    <w:rsid w:val="00E17284"/>
    <w:rsid w:val="00EA18D7"/>
    <w:rsid w:val="00EA6944"/>
    <w:rsid w:val="00EC1501"/>
    <w:rsid w:val="00F775C1"/>
    <w:rsid w:val="00F85283"/>
    <w:rsid w:val="00FF0C6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4D4C36"/>
  <w15:docId w15:val="{66B1C241-B3C3-4CF3-94E0-1DFB8C3BFD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394B7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207</TotalTime>
  <Pages>1</Pages>
  <Words>593</Words>
  <Characters>3384</Characters>
  <Application>Microsoft Office Word</Application>
  <DocSecurity>0</DocSecurity>
  <Lines>28</Lines>
  <Paragraphs>7</Paragraphs>
  <ScaleCrop>false</ScaleCrop>
  <HeadingPairs>
    <vt:vector size="2" baseType="variant">
      <vt:variant>
        <vt:lpstr>Titolo</vt:lpstr>
      </vt:variant>
      <vt:variant>
        <vt:i4>1</vt:i4>
      </vt:variant>
    </vt:vector>
  </HeadingPairs>
  <TitlesOfParts>
    <vt:vector size="1" baseType="lpstr">
      <vt:lpstr/>
    </vt:vector>
  </TitlesOfParts>
  <Company>Microsoft</Company>
  <LinksUpToDate>false</LinksUpToDate>
  <CharactersWithSpaces>3970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Utente</cp:lastModifiedBy>
  <cp:revision>15</cp:revision>
  <dcterms:created xsi:type="dcterms:W3CDTF">2020-06-23T20:53:00Z</dcterms:created>
  <dcterms:modified xsi:type="dcterms:W3CDTF">2023-03-29T10:22:00Z</dcterms:modified>
</cp:coreProperties>
</file>