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7501" w:rsidRPr="001E646B" w:rsidRDefault="00473AC5" w:rsidP="00996EF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Art. 564</w:t>
      </w:r>
    </w:p>
    <w:p w:rsidR="002746C0" w:rsidRDefault="002746C0" w:rsidP="00996E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La norma apre il trittico di disposizioni </w:t>
      </w:r>
      <w:r w:rsidRPr="00A87EFC"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</w:rPr>
        <w:t xml:space="preserve"> art. 564, 565, 566 che si coordinano, per quel che riguarda l</w:t>
      </w:r>
      <w:r w:rsidR="00256608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espropriazione immobiliare, con la disciplina generale </w:t>
      </w:r>
      <w:r w:rsidRPr="00256608">
        <w:rPr>
          <w:rFonts w:ascii="Times New Roman" w:hAnsi="Times New Roman" w:cs="Times New Roman"/>
          <w:b/>
          <w:sz w:val="28"/>
          <w:szCs w:val="28"/>
        </w:rPr>
        <w:t>dell</w:t>
      </w:r>
      <w:r w:rsidR="00256608">
        <w:rPr>
          <w:rFonts w:ascii="Times New Roman" w:hAnsi="Times New Roman" w:cs="Times New Roman"/>
          <w:b/>
          <w:sz w:val="28"/>
          <w:szCs w:val="28"/>
        </w:rPr>
        <w:t>’</w:t>
      </w:r>
      <w:r w:rsidRPr="00256608">
        <w:rPr>
          <w:rFonts w:ascii="Times New Roman" w:hAnsi="Times New Roman" w:cs="Times New Roman"/>
          <w:b/>
          <w:sz w:val="28"/>
          <w:szCs w:val="28"/>
        </w:rPr>
        <w:t>intervento dei creditori nel processo esecutivo</w:t>
      </w:r>
      <w:r w:rsidR="001E646B">
        <w:rPr>
          <w:rFonts w:ascii="Times New Roman" w:hAnsi="Times New Roman" w:cs="Times New Roman"/>
          <w:sz w:val="28"/>
          <w:szCs w:val="28"/>
        </w:rPr>
        <w:t xml:space="preserve"> </w:t>
      </w:r>
      <w:r w:rsidR="00996EF8" w:rsidRPr="00A87EFC">
        <w:rPr>
          <w:rFonts w:ascii="Times New Roman" w:hAnsi="Times New Roman" w:cs="Times New Roman"/>
          <w:sz w:val="28"/>
          <w:szCs w:val="28"/>
        </w:rPr>
        <w:t>→</w:t>
      </w:r>
      <w:r w:rsidR="00257735">
        <w:rPr>
          <w:rFonts w:ascii="Times New Roman" w:hAnsi="Times New Roman" w:cs="Times New Roman"/>
          <w:sz w:val="28"/>
          <w:szCs w:val="28"/>
        </w:rPr>
        <w:t xml:space="preserve"> </w:t>
      </w:r>
      <w:r w:rsidR="001E646B">
        <w:rPr>
          <w:rFonts w:ascii="Times New Roman" w:hAnsi="Times New Roman" w:cs="Times New Roman"/>
          <w:sz w:val="28"/>
          <w:szCs w:val="28"/>
        </w:rPr>
        <w:t>art. 49</w:t>
      </w:r>
      <w:r>
        <w:rPr>
          <w:rFonts w:ascii="Times New Roman" w:hAnsi="Times New Roman" w:cs="Times New Roman"/>
          <w:sz w:val="28"/>
          <w:szCs w:val="28"/>
        </w:rPr>
        <w:t>8-500</w:t>
      </w:r>
      <w:r w:rsidR="001E646B">
        <w:rPr>
          <w:rFonts w:ascii="Times New Roman" w:hAnsi="Times New Roman" w:cs="Times New Roman"/>
          <w:sz w:val="28"/>
          <w:szCs w:val="28"/>
        </w:rPr>
        <w:t>.</w:t>
      </w:r>
    </w:p>
    <w:p w:rsidR="00F81ED7" w:rsidRDefault="00F81ED7" w:rsidP="00996E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52A9">
        <w:rPr>
          <w:rFonts w:ascii="Times New Roman" w:hAnsi="Times New Roman" w:cs="Times New Roman"/>
          <w:sz w:val="28"/>
          <w:szCs w:val="28"/>
          <w:highlight w:val="yellow"/>
        </w:rPr>
        <w:t xml:space="preserve">L’intervento per essere tempestivo deve avvenire </w:t>
      </w:r>
      <w:r w:rsidR="009452A9" w:rsidRPr="009452A9">
        <w:rPr>
          <w:rFonts w:ascii="Times New Roman" w:hAnsi="Times New Roman" w:cs="Times New Roman"/>
          <w:sz w:val="28"/>
          <w:szCs w:val="28"/>
          <w:highlight w:val="yellow"/>
        </w:rPr>
        <w:t xml:space="preserve">“non oltre la prima udienza fissata per l’autorizzazione della vendita”, cioè non oltre l’udienza regolata dall’art. 569 </w:t>
      </w:r>
      <w:proofErr w:type="spellStart"/>
      <w:r w:rsidR="009452A9" w:rsidRPr="009452A9">
        <w:rPr>
          <w:rFonts w:ascii="Times New Roman" w:hAnsi="Times New Roman" w:cs="Times New Roman"/>
          <w:sz w:val="28"/>
          <w:szCs w:val="28"/>
          <w:highlight w:val="yellow"/>
        </w:rPr>
        <w:t>c.p.c.</w:t>
      </w:r>
      <w:proofErr w:type="spellEnd"/>
      <w:r w:rsidR="009452A9" w:rsidRPr="009452A9">
        <w:rPr>
          <w:rFonts w:ascii="Times New Roman" w:hAnsi="Times New Roman" w:cs="Times New Roman"/>
          <w:sz w:val="28"/>
          <w:szCs w:val="28"/>
          <w:highlight w:val="yellow"/>
        </w:rPr>
        <w:t xml:space="preserve"> Si dice che l’intervento è tempestivo se posto in essere fino al completamento degli adempimenti previsti dall’art. 569, essendo irrilevante la circostanza che l’udienza venga rinviata, poiché la tardività dell’intervento è determinata non dallo svolgimento della prima udienza di comparizione delle parti, ma dalla effettiva adozione dei provvedimenti riguardanti la vendita del bene pignorato.</w:t>
      </w:r>
    </w:p>
    <w:p w:rsidR="00711E37" w:rsidRPr="00711E37" w:rsidRDefault="009452A9" w:rsidP="00996E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 w:rsidRPr="00F90DA2">
        <w:rPr>
          <w:rFonts w:ascii="Times New Roman" w:hAnsi="Times New Roman" w:cs="Times New Roman"/>
          <w:sz w:val="28"/>
          <w:szCs w:val="28"/>
          <w:highlight w:val="yellow"/>
        </w:rPr>
        <w:t>Va poi precisato che se i creditori</w:t>
      </w:r>
      <w:r w:rsidR="00F90DA2" w:rsidRPr="00F90DA2">
        <w:rPr>
          <w:rFonts w:ascii="Times New Roman" w:hAnsi="Times New Roman" w:cs="Times New Roman"/>
          <w:sz w:val="28"/>
          <w:szCs w:val="28"/>
          <w:highlight w:val="yellow"/>
        </w:rPr>
        <w:t xml:space="preserve"> intendono intervenire nella espropriazione quando l’esecuzione è pendente, ma il procedimento non è stato ancora formalmente instaurato davanti al tribunale competente per l’esecuzione, devono procedere alla iscrizione a ruolo ai sensi dell’art. 159 </w:t>
      </w:r>
      <w:r w:rsidR="00F90DA2" w:rsidRPr="00F90DA2">
        <w:rPr>
          <w:rFonts w:ascii="Times New Roman" w:hAnsi="Times New Roman" w:cs="Times New Roman"/>
          <w:i/>
          <w:sz w:val="28"/>
          <w:szCs w:val="28"/>
          <w:highlight w:val="yellow"/>
        </w:rPr>
        <w:t>ter</w:t>
      </w:r>
      <w:r w:rsidR="00711E37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="00711E37">
        <w:rPr>
          <w:rFonts w:ascii="Times New Roman" w:hAnsi="Times New Roman" w:cs="Times New Roman"/>
          <w:sz w:val="28"/>
          <w:szCs w:val="28"/>
          <w:highlight w:val="yellow"/>
        </w:rPr>
        <w:t>disp</w:t>
      </w:r>
      <w:proofErr w:type="spellEnd"/>
      <w:r w:rsidR="00711E37">
        <w:rPr>
          <w:rFonts w:ascii="Times New Roman" w:hAnsi="Times New Roman" w:cs="Times New Roman"/>
          <w:sz w:val="28"/>
          <w:szCs w:val="28"/>
          <w:highlight w:val="yellow"/>
        </w:rPr>
        <w:t xml:space="preserve">. </w:t>
      </w:r>
      <w:proofErr w:type="spellStart"/>
      <w:r w:rsidR="00711E37">
        <w:rPr>
          <w:rFonts w:ascii="Times New Roman" w:hAnsi="Times New Roman" w:cs="Times New Roman"/>
          <w:sz w:val="28"/>
          <w:szCs w:val="28"/>
          <w:highlight w:val="yellow"/>
        </w:rPr>
        <w:t>att</w:t>
      </w:r>
      <w:proofErr w:type="spellEnd"/>
      <w:r w:rsidR="00711E37">
        <w:rPr>
          <w:rFonts w:ascii="Times New Roman" w:hAnsi="Times New Roman" w:cs="Times New Roman"/>
          <w:sz w:val="28"/>
          <w:szCs w:val="28"/>
          <w:highlight w:val="yellow"/>
        </w:rPr>
        <w:t xml:space="preserve">. </w:t>
      </w:r>
      <w:proofErr w:type="spellStart"/>
      <w:r w:rsidR="00711E37">
        <w:rPr>
          <w:rFonts w:ascii="Times New Roman" w:hAnsi="Times New Roman" w:cs="Times New Roman"/>
          <w:sz w:val="28"/>
          <w:szCs w:val="28"/>
          <w:highlight w:val="yellow"/>
        </w:rPr>
        <w:t>c.p.c.</w:t>
      </w:r>
      <w:proofErr w:type="spellEnd"/>
    </w:p>
    <w:p w:rsidR="007D0380" w:rsidRDefault="007D0380" w:rsidP="00996E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</w:t>
      </w:r>
      <w:r w:rsidR="00256608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intervento</w:t>
      </w:r>
      <w:r w:rsidR="00711E37">
        <w:rPr>
          <w:rFonts w:ascii="Times New Roman" w:hAnsi="Times New Roman" w:cs="Times New Roman"/>
          <w:sz w:val="28"/>
          <w:szCs w:val="28"/>
        </w:rPr>
        <w:t xml:space="preserve"> </w:t>
      </w:r>
      <w:r w:rsidR="00711E37" w:rsidRPr="00711E37">
        <w:rPr>
          <w:rFonts w:ascii="Times New Roman" w:hAnsi="Times New Roman" w:cs="Times New Roman"/>
          <w:sz w:val="28"/>
          <w:szCs w:val="28"/>
          <w:highlight w:val="yellow"/>
        </w:rPr>
        <w:t>tempestivo</w:t>
      </w:r>
      <w:r>
        <w:rPr>
          <w:rFonts w:ascii="Times New Roman" w:hAnsi="Times New Roman" w:cs="Times New Roman"/>
          <w:sz w:val="28"/>
          <w:szCs w:val="28"/>
        </w:rPr>
        <w:t xml:space="preserve"> consente di </w:t>
      </w:r>
      <w:r w:rsidRPr="00256608">
        <w:rPr>
          <w:rFonts w:ascii="Times New Roman" w:hAnsi="Times New Roman" w:cs="Times New Roman"/>
          <w:b/>
          <w:sz w:val="28"/>
          <w:szCs w:val="28"/>
        </w:rPr>
        <w:t>concorrere alla distribuzione della somma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87EFC">
        <w:rPr>
          <w:rFonts w:ascii="Times New Roman" w:hAnsi="Times New Roman" w:cs="Times New Roman"/>
          <w:sz w:val="28"/>
          <w:szCs w:val="28"/>
        </w:rPr>
        <w:t>→</w:t>
      </w:r>
      <w:r w:rsidRPr="007D0380">
        <w:rPr>
          <w:rFonts w:ascii="Times New Roman" w:hAnsi="Times New Roman" w:cs="Times New Roman"/>
          <w:sz w:val="28"/>
          <w:szCs w:val="28"/>
        </w:rPr>
        <w:t xml:space="preserve"> art. 510</w:t>
      </w:r>
      <w:r>
        <w:rPr>
          <w:rFonts w:ascii="Times New Roman" w:hAnsi="Times New Roman" w:cs="Times New Roman"/>
          <w:sz w:val="28"/>
          <w:szCs w:val="28"/>
        </w:rPr>
        <w:t xml:space="preserve"> e </w:t>
      </w:r>
      <w:r w:rsidRPr="00256608">
        <w:rPr>
          <w:rFonts w:ascii="Times New Roman" w:hAnsi="Times New Roman" w:cs="Times New Roman"/>
          <w:b/>
          <w:sz w:val="28"/>
          <w:szCs w:val="28"/>
        </w:rPr>
        <w:t>di</w:t>
      </w:r>
      <w:r w:rsidR="00F077F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56608">
        <w:rPr>
          <w:rFonts w:ascii="Times New Roman" w:hAnsi="Times New Roman" w:cs="Times New Roman"/>
          <w:b/>
          <w:sz w:val="28"/>
          <w:szCs w:val="28"/>
        </w:rPr>
        <w:t>partecipare all</w:t>
      </w:r>
      <w:r w:rsidR="00256608">
        <w:rPr>
          <w:rFonts w:ascii="Times New Roman" w:hAnsi="Times New Roman" w:cs="Times New Roman"/>
          <w:b/>
          <w:sz w:val="28"/>
          <w:szCs w:val="28"/>
        </w:rPr>
        <w:t>’</w:t>
      </w:r>
      <w:r w:rsidRPr="00256608">
        <w:rPr>
          <w:rFonts w:ascii="Times New Roman" w:hAnsi="Times New Roman" w:cs="Times New Roman"/>
          <w:b/>
          <w:sz w:val="28"/>
          <w:szCs w:val="28"/>
        </w:rPr>
        <w:t>espropriazione del bene pignorato</w:t>
      </w:r>
      <w:r w:rsidRPr="007D0380">
        <w:rPr>
          <w:rFonts w:ascii="Times New Roman" w:hAnsi="Times New Roman" w:cs="Times New Roman"/>
          <w:sz w:val="28"/>
          <w:szCs w:val="28"/>
        </w:rPr>
        <w:t>, nonché</w:t>
      </w:r>
      <w:r w:rsidR="00711E37">
        <w:rPr>
          <w:rFonts w:ascii="Times New Roman" w:hAnsi="Times New Roman" w:cs="Times New Roman"/>
          <w:sz w:val="28"/>
          <w:szCs w:val="28"/>
        </w:rPr>
        <w:t xml:space="preserve">, se il creditore è </w:t>
      </w:r>
      <w:r w:rsidR="00711E37" w:rsidRPr="00630D78">
        <w:rPr>
          <w:rFonts w:ascii="Times New Roman" w:hAnsi="Times New Roman" w:cs="Times New Roman"/>
          <w:b/>
          <w:sz w:val="28"/>
          <w:szCs w:val="28"/>
        </w:rPr>
        <w:t>munito di titolo esecutivo</w:t>
      </w:r>
      <w:r w:rsidR="00711E37">
        <w:rPr>
          <w:rFonts w:ascii="Times New Roman" w:hAnsi="Times New Roman" w:cs="Times New Roman"/>
          <w:sz w:val="28"/>
          <w:szCs w:val="28"/>
        </w:rPr>
        <w:t>,</w:t>
      </w:r>
      <w:r w:rsidRPr="007D03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di </w:t>
      </w:r>
      <w:r w:rsidRPr="00256608">
        <w:rPr>
          <w:rFonts w:ascii="Times New Roman" w:hAnsi="Times New Roman" w:cs="Times New Roman"/>
          <w:b/>
          <w:sz w:val="28"/>
          <w:szCs w:val="28"/>
        </w:rPr>
        <w:t>provocarne i singoli atti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D0380" w:rsidRDefault="007D0380" w:rsidP="00996E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D0380">
        <w:rPr>
          <w:rFonts w:ascii="Times New Roman" w:hAnsi="Times New Roman" w:cs="Times New Roman"/>
          <w:sz w:val="28"/>
          <w:szCs w:val="28"/>
        </w:rPr>
        <w:t>Nell</w:t>
      </w:r>
      <w:r w:rsidR="00256608">
        <w:rPr>
          <w:rFonts w:ascii="Times New Roman" w:hAnsi="Times New Roman" w:cs="Times New Roman"/>
          <w:sz w:val="28"/>
          <w:szCs w:val="28"/>
        </w:rPr>
        <w:t>’</w:t>
      </w:r>
      <w:r w:rsidRPr="007D0380">
        <w:rPr>
          <w:rFonts w:ascii="Times New Roman" w:hAnsi="Times New Roman" w:cs="Times New Roman"/>
          <w:sz w:val="28"/>
          <w:szCs w:val="28"/>
        </w:rPr>
        <w:t>espropriazione immobiliare la </w:t>
      </w:r>
      <w:r w:rsidRPr="007D0380">
        <w:rPr>
          <w:rFonts w:ascii="Times New Roman" w:hAnsi="Times New Roman" w:cs="Times New Roman"/>
          <w:bCs/>
          <w:sz w:val="28"/>
          <w:szCs w:val="28"/>
        </w:rPr>
        <w:t>partecipazione all</w:t>
      </w:r>
      <w:r w:rsidR="00256608">
        <w:rPr>
          <w:rFonts w:ascii="Times New Roman" w:hAnsi="Times New Roman" w:cs="Times New Roman"/>
          <w:bCs/>
          <w:sz w:val="28"/>
          <w:szCs w:val="28"/>
        </w:rPr>
        <w:t>’</w:t>
      </w:r>
      <w:r w:rsidRPr="007D0380">
        <w:rPr>
          <w:rFonts w:ascii="Times New Roman" w:hAnsi="Times New Roman" w:cs="Times New Roman"/>
          <w:bCs/>
          <w:sz w:val="28"/>
          <w:szCs w:val="28"/>
        </w:rPr>
        <w:t>espropriazione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7D0380">
        <w:rPr>
          <w:rFonts w:ascii="Times New Roman" w:hAnsi="Times New Roman" w:cs="Times New Roman"/>
          <w:sz w:val="28"/>
          <w:szCs w:val="28"/>
        </w:rPr>
        <w:t xml:space="preserve"> riservata ai soli creditori intervenuti </w:t>
      </w:r>
      <w:r w:rsidRPr="007D0380">
        <w:rPr>
          <w:rFonts w:ascii="Times New Roman" w:hAnsi="Times New Roman" w:cs="Times New Roman"/>
          <w:bCs/>
          <w:sz w:val="28"/>
          <w:szCs w:val="28"/>
        </w:rPr>
        <w:t>tempestivamente</w:t>
      </w:r>
      <w:r w:rsidRPr="007D0380">
        <w:rPr>
          <w:rFonts w:ascii="Times New Roman" w:hAnsi="Times New Roman" w:cs="Times New Roman"/>
          <w:sz w:val="28"/>
          <w:szCs w:val="28"/>
        </w:rPr>
        <w:t>, anche se non titolati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7D03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si traduce</w:t>
      </w:r>
      <w:r w:rsidRPr="007D0380">
        <w:rPr>
          <w:rFonts w:ascii="Times New Roman" w:hAnsi="Times New Roman" w:cs="Times New Roman"/>
          <w:sz w:val="28"/>
          <w:szCs w:val="28"/>
        </w:rPr>
        <w:t xml:space="preserve"> nella possibilità di essere </w:t>
      </w:r>
      <w:r w:rsidRPr="007D0380">
        <w:rPr>
          <w:rFonts w:ascii="Times New Roman" w:hAnsi="Times New Roman" w:cs="Times New Roman"/>
          <w:bCs/>
          <w:sz w:val="28"/>
          <w:szCs w:val="28"/>
        </w:rPr>
        <w:t>sentiti</w:t>
      </w:r>
      <w:r w:rsidRPr="007D0380">
        <w:rPr>
          <w:rFonts w:ascii="Times New Roman" w:hAnsi="Times New Roman" w:cs="Times New Roman"/>
          <w:sz w:val="28"/>
          <w:szCs w:val="28"/>
        </w:rPr>
        <w:t> e di proporre al giudice le proprie </w:t>
      </w:r>
      <w:r w:rsidRPr="007D0380">
        <w:rPr>
          <w:rFonts w:ascii="Times New Roman" w:hAnsi="Times New Roman" w:cs="Times New Roman"/>
          <w:bCs/>
          <w:sz w:val="28"/>
          <w:szCs w:val="28"/>
        </w:rPr>
        <w:t>osservazioni </w:t>
      </w:r>
      <w:r w:rsidRPr="007D0380">
        <w:rPr>
          <w:rFonts w:ascii="Times New Roman" w:hAnsi="Times New Roman" w:cs="Times New Roman"/>
          <w:sz w:val="28"/>
          <w:szCs w:val="28"/>
        </w:rPr>
        <w:t>all</w:t>
      </w:r>
      <w:r w:rsidR="00256608">
        <w:rPr>
          <w:rFonts w:ascii="Times New Roman" w:hAnsi="Times New Roman" w:cs="Times New Roman"/>
          <w:sz w:val="28"/>
          <w:szCs w:val="28"/>
        </w:rPr>
        <w:t>’</w:t>
      </w:r>
      <w:r w:rsidRPr="007D0380">
        <w:rPr>
          <w:rFonts w:ascii="Times New Roman" w:hAnsi="Times New Roman" w:cs="Times New Roman"/>
          <w:sz w:val="28"/>
          <w:szCs w:val="28"/>
        </w:rPr>
        <w:t>udienza di vendit</w:t>
      </w:r>
      <w:r>
        <w:rPr>
          <w:rFonts w:ascii="Times New Roman" w:hAnsi="Times New Roman" w:cs="Times New Roman"/>
          <w:sz w:val="28"/>
          <w:szCs w:val="28"/>
        </w:rPr>
        <w:t xml:space="preserve">a </w:t>
      </w:r>
      <w:r w:rsidRPr="00A87EFC"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</w:rPr>
        <w:t xml:space="preserve"> art. 569.</w:t>
      </w:r>
      <w:r w:rsidR="00DF62FF">
        <w:rPr>
          <w:rFonts w:ascii="Times New Roman" w:hAnsi="Times New Roman" w:cs="Times New Roman"/>
          <w:sz w:val="28"/>
          <w:szCs w:val="28"/>
        </w:rPr>
        <w:t xml:space="preserve"> </w:t>
      </w:r>
      <w:r w:rsidR="00DF62FF" w:rsidRPr="00DF62FF">
        <w:rPr>
          <w:rFonts w:ascii="Times New Roman" w:hAnsi="Times New Roman" w:cs="Times New Roman"/>
          <w:sz w:val="28"/>
          <w:szCs w:val="28"/>
          <w:highlight w:val="yellow"/>
        </w:rPr>
        <w:t>Tra gli atti che il creditore</w:t>
      </w:r>
      <w:r w:rsidR="002C79E9">
        <w:rPr>
          <w:rFonts w:ascii="Times New Roman" w:hAnsi="Times New Roman" w:cs="Times New Roman"/>
          <w:sz w:val="28"/>
          <w:szCs w:val="28"/>
          <w:highlight w:val="yellow"/>
        </w:rPr>
        <w:t xml:space="preserve"> tempestivo</w:t>
      </w:r>
      <w:r w:rsidR="00DF62FF" w:rsidRPr="00DF62FF">
        <w:rPr>
          <w:rFonts w:ascii="Times New Roman" w:hAnsi="Times New Roman" w:cs="Times New Roman"/>
          <w:sz w:val="28"/>
          <w:szCs w:val="28"/>
          <w:highlight w:val="yellow"/>
        </w:rPr>
        <w:t xml:space="preserve"> munito di titolo può compiere vi è il deposito dell’istanza di vendita </w:t>
      </w:r>
      <w:r w:rsidR="00DF62FF" w:rsidRPr="00DF62FF">
        <w:rPr>
          <w:rFonts w:ascii="Times New Roman" w:hAnsi="Times New Roman" w:cs="Times New Roman"/>
          <w:sz w:val="28"/>
          <w:szCs w:val="28"/>
          <w:highlight w:val="yellow"/>
        </w:rPr>
        <w:t>→</w:t>
      </w:r>
      <w:r w:rsidR="00DF62FF" w:rsidRPr="00DF62FF">
        <w:rPr>
          <w:rFonts w:ascii="Times New Roman" w:hAnsi="Times New Roman" w:cs="Times New Roman"/>
          <w:sz w:val="28"/>
          <w:szCs w:val="28"/>
          <w:highlight w:val="yellow"/>
        </w:rPr>
        <w:t xml:space="preserve"> art. 567 co. 1° </w:t>
      </w:r>
      <w:proofErr w:type="spellStart"/>
      <w:r w:rsidR="00DF62FF" w:rsidRPr="00DF62FF">
        <w:rPr>
          <w:rFonts w:ascii="Times New Roman" w:hAnsi="Times New Roman" w:cs="Times New Roman"/>
          <w:sz w:val="28"/>
          <w:szCs w:val="28"/>
          <w:highlight w:val="yellow"/>
        </w:rPr>
        <w:t>c.p.c.</w:t>
      </w:r>
      <w:proofErr w:type="spellEnd"/>
      <w:r w:rsidR="00DF62FF" w:rsidRPr="00DF62FF">
        <w:rPr>
          <w:rFonts w:ascii="Times New Roman" w:hAnsi="Times New Roman" w:cs="Times New Roman"/>
          <w:sz w:val="28"/>
          <w:szCs w:val="28"/>
          <w:highlight w:val="yellow"/>
        </w:rPr>
        <w:t>, della documentazione prevista dal co. 2° della stessa norma e della richiesta di proroga del termine di cui al co. 3</w:t>
      </w:r>
      <w:r w:rsidR="00DF62FF" w:rsidRPr="002C79E9">
        <w:rPr>
          <w:rFonts w:ascii="Times New Roman" w:hAnsi="Times New Roman" w:cs="Times New Roman"/>
          <w:sz w:val="28"/>
          <w:szCs w:val="28"/>
          <w:highlight w:val="yellow"/>
        </w:rPr>
        <w:t xml:space="preserve">°. </w:t>
      </w:r>
      <w:r w:rsidR="00AD6F5D">
        <w:rPr>
          <w:rFonts w:ascii="Times New Roman" w:hAnsi="Times New Roman" w:cs="Times New Roman"/>
          <w:sz w:val="28"/>
          <w:szCs w:val="28"/>
          <w:highlight w:val="yellow"/>
        </w:rPr>
        <w:t>Inoltre, i</w:t>
      </w:r>
      <w:r w:rsidR="00DF62FF" w:rsidRPr="002C79E9">
        <w:rPr>
          <w:rFonts w:ascii="Times New Roman" w:hAnsi="Times New Roman" w:cs="Times New Roman"/>
          <w:sz w:val="28"/>
          <w:szCs w:val="28"/>
          <w:highlight w:val="yellow"/>
        </w:rPr>
        <w:t>l creditore intervenuto</w:t>
      </w:r>
      <w:r w:rsidR="00AD6F5D">
        <w:rPr>
          <w:rFonts w:ascii="Times New Roman" w:hAnsi="Times New Roman" w:cs="Times New Roman"/>
          <w:sz w:val="28"/>
          <w:szCs w:val="28"/>
          <w:highlight w:val="yellow"/>
        </w:rPr>
        <w:t xml:space="preserve"> tempestivamente e</w:t>
      </w:r>
      <w:r w:rsidR="00DF62FF" w:rsidRPr="002C79E9">
        <w:rPr>
          <w:rFonts w:ascii="Times New Roman" w:hAnsi="Times New Roman" w:cs="Times New Roman"/>
          <w:sz w:val="28"/>
          <w:szCs w:val="28"/>
          <w:highlight w:val="yellow"/>
        </w:rPr>
        <w:t xml:space="preserve"> munito di titolo deve aderire alla sospensione consensuale della procedura </w:t>
      </w:r>
      <w:r w:rsidR="00DF62FF" w:rsidRPr="002C79E9">
        <w:rPr>
          <w:rFonts w:ascii="Times New Roman" w:hAnsi="Times New Roman" w:cs="Times New Roman"/>
          <w:sz w:val="28"/>
          <w:szCs w:val="28"/>
          <w:highlight w:val="yellow"/>
        </w:rPr>
        <w:t>→</w:t>
      </w:r>
      <w:r w:rsidR="00DF62FF" w:rsidRPr="002C79E9">
        <w:rPr>
          <w:rFonts w:ascii="Times New Roman" w:hAnsi="Times New Roman" w:cs="Times New Roman"/>
          <w:sz w:val="28"/>
          <w:szCs w:val="28"/>
          <w:highlight w:val="yellow"/>
        </w:rPr>
        <w:t xml:space="preserve"> art. 624 </w:t>
      </w:r>
      <w:r w:rsidR="00DF62FF" w:rsidRPr="002C79E9">
        <w:rPr>
          <w:rFonts w:ascii="Times New Roman" w:hAnsi="Times New Roman" w:cs="Times New Roman"/>
          <w:i/>
          <w:sz w:val="28"/>
          <w:szCs w:val="28"/>
          <w:highlight w:val="yellow"/>
        </w:rPr>
        <w:t>bis</w:t>
      </w:r>
      <w:r w:rsidR="002C79E9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="002C79E9">
        <w:rPr>
          <w:rFonts w:ascii="Times New Roman" w:hAnsi="Times New Roman" w:cs="Times New Roman"/>
          <w:sz w:val="28"/>
          <w:szCs w:val="28"/>
          <w:highlight w:val="yellow"/>
        </w:rPr>
        <w:t>c.p.c.</w:t>
      </w:r>
      <w:proofErr w:type="spellEnd"/>
      <w:r w:rsidR="002C79E9">
        <w:rPr>
          <w:rFonts w:ascii="Times New Roman" w:hAnsi="Times New Roman" w:cs="Times New Roman"/>
          <w:sz w:val="28"/>
          <w:szCs w:val="28"/>
          <w:highlight w:val="yellow"/>
        </w:rPr>
        <w:t>,</w:t>
      </w:r>
      <w:r w:rsidR="00DF62FF" w:rsidRPr="002C79E9">
        <w:rPr>
          <w:rFonts w:ascii="Times New Roman" w:hAnsi="Times New Roman" w:cs="Times New Roman"/>
          <w:sz w:val="28"/>
          <w:szCs w:val="28"/>
          <w:highlight w:val="yellow"/>
        </w:rPr>
        <w:t xml:space="preserve"> al rinvio della vendita </w:t>
      </w:r>
      <w:r w:rsidR="00DF62FF" w:rsidRPr="002C79E9">
        <w:rPr>
          <w:rFonts w:ascii="Times New Roman" w:hAnsi="Times New Roman" w:cs="Times New Roman"/>
          <w:sz w:val="28"/>
          <w:szCs w:val="28"/>
          <w:highlight w:val="yellow"/>
        </w:rPr>
        <w:t>→</w:t>
      </w:r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 xml:space="preserve"> art. 161 </w:t>
      </w:r>
      <w:proofErr w:type="spellStart"/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>disp</w:t>
      </w:r>
      <w:proofErr w:type="spellEnd"/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 xml:space="preserve">. </w:t>
      </w:r>
      <w:proofErr w:type="spellStart"/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>att</w:t>
      </w:r>
      <w:proofErr w:type="spellEnd"/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 xml:space="preserve">. </w:t>
      </w:r>
      <w:proofErr w:type="spellStart"/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>c.p.c.</w:t>
      </w:r>
      <w:proofErr w:type="spellEnd"/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 xml:space="preserve">, </w:t>
      </w:r>
      <w:r w:rsidR="00AD6F5D">
        <w:rPr>
          <w:rFonts w:ascii="Times New Roman" w:hAnsi="Times New Roman" w:cs="Times New Roman"/>
          <w:sz w:val="28"/>
          <w:szCs w:val="28"/>
          <w:highlight w:val="yellow"/>
        </w:rPr>
        <w:t xml:space="preserve">e </w:t>
      </w:r>
      <w:bookmarkStart w:id="0" w:name="_GoBack"/>
      <w:bookmarkEnd w:id="0"/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 xml:space="preserve">infine rinunciare agli atti ai fini dell’estinzione del processo esecutivo </w:t>
      </w:r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>→</w:t>
      </w:r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 xml:space="preserve"> art. 629 </w:t>
      </w:r>
      <w:proofErr w:type="spellStart"/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>c.p.c.</w:t>
      </w:r>
      <w:proofErr w:type="spellEnd"/>
    </w:p>
    <w:p w:rsidR="007D0380" w:rsidRDefault="007D0380" w:rsidP="00996E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79E9">
        <w:rPr>
          <w:rFonts w:ascii="Times New Roman" w:hAnsi="Times New Roman" w:cs="Times New Roman"/>
          <w:sz w:val="28"/>
          <w:szCs w:val="28"/>
          <w:highlight w:val="yellow"/>
        </w:rPr>
        <w:t>I</w:t>
      </w:r>
      <w:r w:rsidR="002C79E9" w:rsidRPr="002C79E9">
        <w:rPr>
          <w:rFonts w:ascii="Times New Roman" w:hAnsi="Times New Roman" w:cs="Times New Roman"/>
          <w:sz w:val="28"/>
          <w:szCs w:val="28"/>
          <w:highlight w:val="yellow"/>
        </w:rPr>
        <w:t>nvece,</w:t>
      </w:r>
      <w:r w:rsidR="002C79E9">
        <w:rPr>
          <w:rFonts w:ascii="Times New Roman" w:hAnsi="Times New Roman" w:cs="Times New Roman"/>
          <w:sz w:val="28"/>
          <w:szCs w:val="28"/>
        </w:rPr>
        <w:t xml:space="preserve"> i</w:t>
      </w:r>
      <w:r>
        <w:rPr>
          <w:rFonts w:ascii="Times New Roman" w:hAnsi="Times New Roman" w:cs="Times New Roman"/>
          <w:sz w:val="28"/>
          <w:szCs w:val="28"/>
        </w:rPr>
        <w:t xml:space="preserve"> creditori titolati ma tardivi non hanno il potere di compiere atti ese</w:t>
      </w:r>
      <w:r w:rsidR="00DF62FF">
        <w:rPr>
          <w:rFonts w:ascii="Times New Roman" w:hAnsi="Times New Roman" w:cs="Times New Roman"/>
          <w:sz w:val="28"/>
          <w:szCs w:val="28"/>
        </w:rPr>
        <w:t>c</w:t>
      </w:r>
      <w:r w:rsidR="002C79E9">
        <w:rPr>
          <w:rFonts w:ascii="Times New Roman" w:hAnsi="Times New Roman" w:cs="Times New Roman"/>
          <w:sz w:val="28"/>
          <w:szCs w:val="28"/>
        </w:rPr>
        <w:t>utivi, salvo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C79E9">
        <w:rPr>
          <w:rFonts w:ascii="Times New Roman" w:hAnsi="Times New Roman" w:cs="Times New Roman"/>
          <w:sz w:val="28"/>
          <w:szCs w:val="28"/>
        </w:rPr>
        <w:t>quanto previsto dall’</w:t>
      </w:r>
      <w:r>
        <w:rPr>
          <w:rFonts w:ascii="Times New Roman" w:hAnsi="Times New Roman" w:cs="Times New Roman"/>
          <w:sz w:val="28"/>
          <w:szCs w:val="28"/>
        </w:rPr>
        <w:t>art. 566.</w:t>
      </w:r>
    </w:p>
    <w:p w:rsidR="007D0380" w:rsidRDefault="007D0380" w:rsidP="00996E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</w:t>
      </w:r>
      <w:r w:rsidR="00256608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intervento del creditore produce l</w:t>
      </w:r>
      <w:r w:rsidR="00256608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effetto interruttivo della prescrizione </w:t>
      </w:r>
      <w:r w:rsidRPr="00A87EFC">
        <w:rPr>
          <w:rFonts w:ascii="Times New Roman" w:hAnsi="Times New Roman" w:cs="Times New Roman"/>
          <w:sz w:val="28"/>
          <w:szCs w:val="28"/>
        </w:rPr>
        <w:t>→</w:t>
      </w:r>
      <w:r>
        <w:rPr>
          <w:rFonts w:ascii="Times New Roman" w:hAnsi="Times New Roman" w:cs="Times New Roman"/>
          <w:sz w:val="28"/>
          <w:szCs w:val="28"/>
        </w:rPr>
        <w:t xml:space="preserve"> art. 2943 c.c.</w:t>
      </w:r>
    </w:p>
    <w:p w:rsidR="007D0380" w:rsidRDefault="007D0380" w:rsidP="00996E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0380" w:rsidRDefault="007D0380" w:rsidP="00996E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0380" w:rsidRPr="007D0380" w:rsidRDefault="007D0380" w:rsidP="00996E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96EF8" w:rsidRDefault="00996EF8" w:rsidP="00A775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96EF8" w:rsidRPr="00996EF8" w:rsidRDefault="00996EF8" w:rsidP="00A775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87EFC" w:rsidRPr="00A87EFC" w:rsidRDefault="00A87EFC" w:rsidP="00A77501">
      <w:pPr>
        <w:spacing w:after="0" w:line="240" w:lineRule="auto"/>
        <w:jc w:val="both"/>
        <w:rPr>
          <w:rFonts w:ascii="Times New Roman" w:hAnsi="Times New Roman" w:cs="Times New Roman"/>
          <w:smallCaps/>
          <w:sz w:val="28"/>
          <w:szCs w:val="28"/>
        </w:rPr>
      </w:pPr>
    </w:p>
    <w:p w:rsidR="00A87EFC" w:rsidRPr="00A87EFC" w:rsidRDefault="00A87EFC" w:rsidP="00A775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87EFC" w:rsidRPr="00A87EFC" w:rsidRDefault="00A87EFC" w:rsidP="00A775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39E9" w:rsidRPr="00A77501" w:rsidRDefault="000739E9" w:rsidP="00A775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77501" w:rsidRPr="00A77501" w:rsidRDefault="00A77501" w:rsidP="00A775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77501" w:rsidRDefault="00A77501" w:rsidP="006B164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77501" w:rsidRDefault="00A77501" w:rsidP="006B164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32C04" w:rsidRPr="00032C04" w:rsidRDefault="00032C04" w:rsidP="00032C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032C04" w:rsidRPr="00032C0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A39"/>
    <w:rsid w:val="00032C04"/>
    <w:rsid w:val="000739E9"/>
    <w:rsid w:val="000B49D0"/>
    <w:rsid w:val="000D3EDA"/>
    <w:rsid w:val="00150B95"/>
    <w:rsid w:val="001518F4"/>
    <w:rsid w:val="00185709"/>
    <w:rsid w:val="00192C97"/>
    <w:rsid w:val="00194379"/>
    <w:rsid w:val="001E0B6D"/>
    <w:rsid w:val="001E56ED"/>
    <w:rsid w:val="001E646B"/>
    <w:rsid w:val="001F181E"/>
    <w:rsid w:val="00227A00"/>
    <w:rsid w:val="002523B3"/>
    <w:rsid w:val="00256608"/>
    <w:rsid w:val="00257735"/>
    <w:rsid w:val="002746C0"/>
    <w:rsid w:val="002953E4"/>
    <w:rsid w:val="002B424B"/>
    <w:rsid w:val="002C79E9"/>
    <w:rsid w:val="00327CB2"/>
    <w:rsid w:val="00382EC9"/>
    <w:rsid w:val="00394B70"/>
    <w:rsid w:val="00413CAC"/>
    <w:rsid w:val="004156EF"/>
    <w:rsid w:val="00453220"/>
    <w:rsid w:val="00473AC5"/>
    <w:rsid w:val="004B3D7B"/>
    <w:rsid w:val="004C48B3"/>
    <w:rsid w:val="004D51DC"/>
    <w:rsid w:val="004F6996"/>
    <w:rsid w:val="005245E3"/>
    <w:rsid w:val="00563E88"/>
    <w:rsid w:val="00583A4C"/>
    <w:rsid w:val="005B1476"/>
    <w:rsid w:val="00630D78"/>
    <w:rsid w:val="006439F1"/>
    <w:rsid w:val="00682633"/>
    <w:rsid w:val="0069194D"/>
    <w:rsid w:val="006A194A"/>
    <w:rsid w:val="006A753A"/>
    <w:rsid w:val="006B1643"/>
    <w:rsid w:val="00711E37"/>
    <w:rsid w:val="007379F2"/>
    <w:rsid w:val="007622D3"/>
    <w:rsid w:val="007B45CE"/>
    <w:rsid w:val="007D0380"/>
    <w:rsid w:val="007F70D2"/>
    <w:rsid w:val="00890794"/>
    <w:rsid w:val="008A257F"/>
    <w:rsid w:val="009452A9"/>
    <w:rsid w:val="0097394E"/>
    <w:rsid w:val="00996EF8"/>
    <w:rsid w:val="009D1AC9"/>
    <w:rsid w:val="00A01142"/>
    <w:rsid w:val="00A02D89"/>
    <w:rsid w:val="00A42A39"/>
    <w:rsid w:val="00A77501"/>
    <w:rsid w:val="00A87EFC"/>
    <w:rsid w:val="00AA1158"/>
    <w:rsid w:val="00AC568D"/>
    <w:rsid w:val="00AD3256"/>
    <w:rsid w:val="00AD4E17"/>
    <w:rsid w:val="00AD58C1"/>
    <w:rsid w:val="00AD6F5D"/>
    <w:rsid w:val="00AE6FFA"/>
    <w:rsid w:val="00B22A88"/>
    <w:rsid w:val="00B349AC"/>
    <w:rsid w:val="00B57004"/>
    <w:rsid w:val="00B82F5F"/>
    <w:rsid w:val="00BE22D0"/>
    <w:rsid w:val="00C94991"/>
    <w:rsid w:val="00CC0533"/>
    <w:rsid w:val="00D23869"/>
    <w:rsid w:val="00D41E45"/>
    <w:rsid w:val="00DF62FF"/>
    <w:rsid w:val="00E17284"/>
    <w:rsid w:val="00E950FA"/>
    <w:rsid w:val="00EA18D7"/>
    <w:rsid w:val="00EA6944"/>
    <w:rsid w:val="00EC1501"/>
    <w:rsid w:val="00F077F7"/>
    <w:rsid w:val="00F27F03"/>
    <w:rsid w:val="00F775C1"/>
    <w:rsid w:val="00F81ED7"/>
    <w:rsid w:val="00F85283"/>
    <w:rsid w:val="00F90DA2"/>
    <w:rsid w:val="00FE19D8"/>
    <w:rsid w:val="00FF0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0DCF0"/>
  <w15:docId w15:val="{66B1C241-B3C3-4CF3-94E0-1DFB8C3BF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245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394B70"/>
    <w:rPr>
      <w:color w:val="0000FF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245E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orpotesto">
    <w:name w:val="Body Text"/>
    <w:basedOn w:val="Normale"/>
    <w:link w:val="CorpotestoCarattere"/>
    <w:uiPriority w:val="99"/>
    <w:unhideWhenUsed/>
    <w:rsid w:val="005245E3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5245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68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1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360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Utente</cp:lastModifiedBy>
  <cp:revision>7</cp:revision>
  <dcterms:created xsi:type="dcterms:W3CDTF">2020-06-26T21:45:00Z</dcterms:created>
  <dcterms:modified xsi:type="dcterms:W3CDTF">2023-04-26T09:19:00Z</dcterms:modified>
</cp:coreProperties>
</file>