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01" w:rsidRPr="001E646B" w:rsidRDefault="00890794" w:rsidP="00996EF8">
      <w:pPr>
        <w:jc w:val="both"/>
        <w:rPr>
          <w:rFonts w:ascii="Times New Roman" w:hAnsi="Times New Roman" w:cs="Times New Roman"/>
          <w:sz w:val="28"/>
          <w:szCs w:val="28"/>
        </w:rPr>
      </w:pPr>
      <w:r>
        <w:rPr>
          <w:rFonts w:ascii="Times New Roman" w:hAnsi="Times New Roman" w:cs="Times New Roman"/>
          <w:b/>
          <w:sz w:val="28"/>
          <w:szCs w:val="28"/>
        </w:rPr>
        <w:t>Art. 562</w:t>
      </w:r>
    </w:p>
    <w:p w:rsidR="00996EF8" w:rsidRDefault="00AD58C1" w:rsidP="00996E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La disposizione sancisce le conseguenze del </w:t>
      </w:r>
      <w:r w:rsidRPr="00887F92">
        <w:rPr>
          <w:rFonts w:ascii="Times New Roman" w:hAnsi="Times New Roman" w:cs="Times New Roman"/>
          <w:b/>
          <w:sz w:val="28"/>
          <w:szCs w:val="28"/>
        </w:rPr>
        <w:t>mancato rispetto</w:t>
      </w:r>
      <w:r>
        <w:rPr>
          <w:rFonts w:ascii="Times New Roman" w:hAnsi="Times New Roman" w:cs="Times New Roman"/>
          <w:sz w:val="28"/>
          <w:szCs w:val="28"/>
        </w:rPr>
        <w:t xml:space="preserve"> del termine acceleratorio di efficacia del pignoramento</w:t>
      </w:r>
      <w:r w:rsidR="001E646B">
        <w:rPr>
          <w:rFonts w:ascii="Times New Roman" w:hAnsi="Times New Roman" w:cs="Times New Roman"/>
          <w:sz w:val="28"/>
          <w:szCs w:val="28"/>
        </w:rPr>
        <w:t xml:space="preserve"> </w:t>
      </w:r>
      <w:r w:rsidR="00996EF8" w:rsidRPr="00A87EFC">
        <w:rPr>
          <w:rFonts w:ascii="Times New Roman" w:hAnsi="Times New Roman" w:cs="Times New Roman"/>
          <w:sz w:val="28"/>
          <w:szCs w:val="28"/>
        </w:rPr>
        <w:t>→</w:t>
      </w:r>
      <w:r w:rsidR="00257735">
        <w:rPr>
          <w:rFonts w:ascii="Times New Roman" w:hAnsi="Times New Roman" w:cs="Times New Roman"/>
          <w:sz w:val="28"/>
          <w:szCs w:val="28"/>
        </w:rPr>
        <w:t xml:space="preserve"> </w:t>
      </w:r>
      <w:r w:rsidR="001E646B">
        <w:rPr>
          <w:rFonts w:ascii="Times New Roman" w:hAnsi="Times New Roman" w:cs="Times New Roman"/>
          <w:sz w:val="28"/>
          <w:szCs w:val="28"/>
        </w:rPr>
        <w:t>art. 49</w:t>
      </w:r>
      <w:r>
        <w:rPr>
          <w:rFonts w:ascii="Times New Roman" w:hAnsi="Times New Roman" w:cs="Times New Roman"/>
          <w:sz w:val="28"/>
          <w:szCs w:val="28"/>
        </w:rPr>
        <w:t>7</w:t>
      </w:r>
      <w:r w:rsidR="00645FBF">
        <w:rPr>
          <w:rFonts w:ascii="Times New Roman" w:hAnsi="Times New Roman" w:cs="Times New Roman"/>
          <w:sz w:val="28"/>
          <w:szCs w:val="28"/>
        </w:rPr>
        <w:t xml:space="preserve">, </w:t>
      </w:r>
      <w:r w:rsidR="00645FBF" w:rsidRPr="00CC1D0D">
        <w:rPr>
          <w:rFonts w:ascii="Times New Roman" w:hAnsi="Times New Roman" w:cs="Times New Roman"/>
          <w:sz w:val="28"/>
          <w:szCs w:val="28"/>
          <w:highlight w:val="yellow"/>
        </w:rPr>
        <w:t xml:space="preserve">e cioè </w:t>
      </w:r>
      <w:r w:rsidR="00CC1D0D" w:rsidRPr="00CC1D0D">
        <w:rPr>
          <w:rFonts w:ascii="Times New Roman" w:hAnsi="Times New Roman" w:cs="Times New Roman"/>
          <w:sz w:val="28"/>
          <w:szCs w:val="28"/>
          <w:highlight w:val="yellow"/>
        </w:rPr>
        <w:t>la mancata tempestiva istanza di vendita o di assegnazione determina l’inefficacia del pignoramento. Non si o</w:t>
      </w:r>
      <w:r w:rsidR="000879B2">
        <w:rPr>
          <w:rFonts w:ascii="Times New Roman" w:hAnsi="Times New Roman" w:cs="Times New Roman"/>
          <w:sz w:val="28"/>
          <w:szCs w:val="28"/>
          <w:highlight w:val="yellow"/>
        </w:rPr>
        <w:t>ccupa, invece, del caso</w:t>
      </w:r>
      <w:r w:rsidR="00CC1D0D" w:rsidRPr="00CC1D0D">
        <w:rPr>
          <w:rFonts w:ascii="Times New Roman" w:hAnsi="Times New Roman" w:cs="Times New Roman"/>
          <w:sz w:val="28"/>
          <w:szCs w:val="28"/>
          <w:highlight w:val="yellow"/>
        </w:rPr>
        <w:t xml:space="preserve"> in cui il pignoramento </w:t>
      </w:r>
      <w:r w:rsidR="00CC1D0D" w:rsidRPr="0065565C">
        <w:rPr>
          <w:rFonts w:ascii="Times New Roman" w:hAnsi="Times New Roman" w:cs="Times New Roman"/>
          <w:b/>
          <w:sz w:val="28"/>
          <w:szCs w:val="28"/>
          <w:highlight w:val="yellow"/>
        </w:rPr>
        <w:t>non sia stato tempestivamente iscritto a ruolo</w:t>
      </w:r>
      <w:r w:rsidR="00CC1D0D" w:rsidRPr="00AA0287">
        <w:rPr>
          <w:rFonts w:ascii="Times New Roman" w:hAnsi="Times New Roman" w:cs="Times New Roman"/>
          <w:sz w:val="28"/>
          <w:szCs w:val="28"/>
          <w:highlight w:val="yellow"/>
        </w:rPr>
        <w:t>.</w:t>
      </w:r>
      <w:r w:rsidR="000879B2" w:rsidRPr="00AA0287">
        <w:rPr>
          <w:rFonts w:ascii="Times New Roman" w:hAnsi="Times New Roman" w:cs="Times New Roman"/>
          <w:sz w:val="28"/>
          <w:szCs w:val="28"/>
          <w:highlight w:val="yellow"/>
        </w:rPr>
        <w:t xml:space="preserve"> Per la disciplina di questa ipotesi dobbiamo fare riferimento all’art. 164 </w:t>
      </w:r>
      <w:r w:rsidR="000879B2" w:rsidRPr="0065565C">
        <w:rPr>
          <w:rFonts w:ascii="Times New Roman" w:hAnsi="Times New Roman" w:cs="Times New Roman"/>
          <w:i/>
          <w:sz w:val="28"/>
          <w:szCs w:val="28"/>
          <w:highlight w:val="yellow"/>
        </w:rPr>
        <w:t>t</w:t>
      </w:r>
      <w:r w:rsidR="00AA0287" w:rsidRPr="0065565C">
        <w:rPr>
          <w:rFonts w:ascii="Times New Roman" w:hAnsi="Times New Roman" w:cs="Times New Roman"/>
          <w:i/>
          <w:sz w:val="28"/>
          <w:szCs w:val="28"/>
          <w:highlight w:val="yellow"/>
        </w:rPr>
        <w:t>er</w:t>
      </w:r>
      <w:r w:rsidR="00AA0287" w:rsidRPr="00AA0287">
        <w:rPr>
          <w:rFonts w:ascii="Times New Roman" w:hAnsi="Times New Roman" w:cs="Times New Roman"/>
          <w:sz w:val="28"/>
          <w:szCs w:val="28"/>
          <w:highlight w:val="yellow"/>
        </w:rPr>
        <w:t xml:space="preserve"> </w:t>
      </w:r>
      <w:proofErr w:type="spellStart"/>
      <w:r w:rsidR="00AA0287" w:rsidRPr="00AA0287">
        <w:rPr>
          <w:rFonts w:ascii="Times New Roman" w:hAnsi="Times New Roman" w:cs="Times New Roman"/>
          <w:sz w:val="28"/>
          <w:szCs w:val="28"/>
          <w:highlight w:val="yellow"/>
        </w:rPr>
        <w:t>disp</w:t>
      </w:r>
      <w:proofErr w:type="spellEnd"/>
      <w:r w:rsidR="00AA0287" w:rsidRPr="00AA0287">
        <w:rPr>
          <w:rFonts w:ascii="Times New Roman" w:hAnsi="Times New Roman" w:cs="Times New Roman"/>
          <w:sz w:val="28"/>
          <w:szCs w:val="28"/>
          <w:highlight w:val="yellow"/>
        </w:rPr>
        <w:t xml:space="preserve">. </w:t>
      </w:r>
      <w:proofErr w:type="spellStart"/>
      <w:r w:rsidR="00AA0287" w:rsidRPr="00AA0287">
        <w:rPr>
          <w:rFonts w:ascii="Times New Roman" w:hAnsi="Times New Roman" w:cs="Times New Roman"/>
          <w:sz w:val="28"/>
          <w:szCs w:val="28"/>
          <w:highlight w:val="yellow"/>
        </w:rPr>
        <w:t>att</w:t>
      </w:r>
      <w:proofErr w:type="spellEnd"/>
      <w:r w:rsidR="00AA0287" w:rsidRPr="00AA0287">
        <w:rPr>
          <w:rFonts w:ascii="Times New Roman" w:hAnsi="Times New Roman" w:cs="Times New Roman"/>
          <w:sz w:val="28"/>
          <w:szCs w:val="28"/>
          <w:highlight w:val="yellow"/>
        </w:rPr>
        <w:t>.</w:t>
      </w:r>
      <w:r w:rsidR="00447470">
        <w:rPr>
          <w:rFonts w:ascii="Times New Roman" w:hAnsi="Times New Roman" w:cs="Times New Roman"/>
          <w:sz w:val="28"/>
          <w:szCs w:val="28"/>
          <w:highlight w:val="yellow"/>
        </w:rPr>
        <w:t xml:space="preserve"> c.p.c.</w:t>
      </w:r>
      <w:bookmarkStart w:id="0" w:name="_GoBack"/>
      <w:bookmarkEnd w:id="0"/>
      <w:r w:rsidR="00AA0287" w:rsidRPr="00AA0287">
        <w:rPr>
          <w:rFonts w:ascii="Times New Roman" w:hAnsi="Times New Roman" w:cs="Times New Roman"/>
          <w:sz w:val="28"/>
          <w:szCs w:val="28"/>
          <w:highlight w:val="yellow"/>
        </w:rPr>
        <w:t xml:space="preserve"> secondo cui</w:t>
      </w:r>
      <w:r w:rsidR="000879B2" w:rsidRPr="00AA0287">
        <w:rPr>
          <w:rFonts w:ascii="Times New Roman" w:hAnsi="Times New Roman" w:cs="Times New Roman"/>
          <w:sz w:val="28"/>
          <w:szCs w:val="28"/>
          <w:highlight w:val="yellow"/>
        </w:rPr>
        <w:t xml:space="preserve">, nonostante la cessazione di efficacia del pignoramento del pignoramento sia una conseguenza </w:t>
      </w:r>
      <w:proofErr w:type="spellStart"/>
      <w:r w:rsidR="000879B2" w:rsidRPr="00AA0287">
        <w:rPr>
          <w:rFonts w:ascii="Times New Roman" w:hAnsi="Times New Roman" w:cs="Times New Roman"/>
          <w:i/>
          <w:sz w:val="28"/>
          <w:szCs w:val="28"/>
          <w:highlight w:val="yellow"/>
        </w:rPr>
        <w:t>ope</w:t>
      </w:r>
      <w:proofErr w:type="spellEnd"/>
      <w:r w:rsidR="000879B2" w:rsidRPr="00AA0287">
        <w:rPr>
          <w:rFonts w:ascii="Times New Roman" w:hAnsi="Times New Roman" w:cs="Times New Roman"/>
          <w:i/>
          <w:sz w:val="28"/>
          <w:szCs w:val="28"/>
          <w:highlight w:val="yellow"/>
        </w:rPr>
        <w:t xml:space="preserve"> </w:t>
      </w:r>
      <w:proofErr w:type="spellStart"/>
      <w:r w:rsidR="000879B2" w:rsidRPr="00AA0287">
        <w:rPr>
          <w:rFonts w:ascii="Times New Roman" w:hAnsi="Times New Roman" w:cs="Times New Roman"/>
          <w:i/>
          <w:sz w:val="28"/>
          <w:szCs w:val="28"/>
          <w:highlight w:val="yellow"/>
        </w:rPr>
        <w:t>legis</w:t>
      </w:r>
      <w:proofErr w:type="spellEnd"/>
      <w:r w:rsidR="000879B2" w:rsidRPr="00AA0287">
        <w:rPr>
          <w:rFonts w:ascii="Times New Roman" w:hAnsi="Times New Roman" w:cs="Times New Roman"/>
          <w:sz w:val="28"/>
          <w:szCs w:val="28"/>
          <w:highlight w:val="yellow"/>
        </w:rPr>
        <w:t xml:space="preserve"> della scadenza del termine perentorio per il deposito della nota di iscrizione a ruolo, </w:t>
      </w:r>
      <w:r w:rsidR="00AA0287" w:rsidRPr="00AA0287">
        <w:rPr>
          <w:rFonts w:ascii="Times New Roman" w:hAnsi="Times New Roman" w:cs="Times New Roman"/>
          <w:sz w:val="28"/>
          <w:szCs w:val="28"/>
          <w:highlight w:val="yellow"/>
        </w:rPr>
        <w:t xml:space="preserve">nel senso che ogni obbligo del debitore e del terzo cessa quando la nota di iscrizione a ruolo non sia stata depositata nei termini di legge, </w:t>
      </w:r>
      <w:r w:rsidR="000879B2" w:rsidRPr="00AA0287">
        <w:rPr>
          <w:rFonts w:ascii="Times New Roman" w:hAnsi="Times New Roman" w:cs="Times New Roman"/>
          <w:sz w:val="28"/>
          <w:szCs w:val="28"/>
          <w:highlight w:val="yellow"/>
        </w:rPr>
        <w:t xml:space="preserve">il creditore deve notificare al debitore e all’eventuale terzo una dichiarazione </w:t>
      </w:r>
      <w:r w:rsidR="00AA0287" w:rsidRPr="00AA0287">
        <w:rPr>
          <w:rFonts w:ascii="Times New Roman" w:hAnsi="Times New Roman" w:cs="Times New Roman"/>
          <w:sz w:val="28"/>
          <w:szCs w:val="28"/>
          <w:highlight w:val="yellow"/>
        </w:rPr>
        <w:t>stragiudiziale recante l’indicazione del termine in cui è avvenuta la consegna del pignoramento e la constatazione della scadenza del termine previsto per l’iscrizione a ruolo. Tale dichiarazione mira ad informare il debitore della scadenza del termine, permette al terzo di ritenere formalmente cessato l’obbligo di custodia e legittima il Conservatore dei Registri Immobiliari ad eseguire la cancellazione del pignoramento.</w:t>
      </w:r>
      <w:r w:rsidR="00AA0287">
        <w:rPr>
          <w:rFonts w:ascii="Times New Roman" w:hAnsi="Times New Roman" w:cs="Times New Roman"/>
          <w:sz w:val="28"/>
          <w:szCs w:val="28"/>
        </w:rPr>
        <w:t xml:space="preserve"> </w:t>
      </w:r>
      <w:r w:rsidR="000879B2">
        <w:rPr>
          <w:rFonts w:ascii="Times New Roman" w:hAnsi="Times New Roman" w:cs="Times New Roman"/>
          <w:sz w:val="28"/>
          <w:szCs w:val="28"/>
        </w:rPr>
        <w:t xml:space="preserve">  </w:t>
      </w:r>
      <w:r w:rsidR="00CC1D0D">
        <w:rPr>
          <w:rFonts w:ascii="Times New Roman" w:hAnsi="Times New Roman" w:cs="Times New Roman"/>
          <w:sz w:val="28"/>
          <w:szCs w:val="28"/>
        </w:rPr>
        <w:t xml:space="preserve"> </w:t>
      </w:r>
    </w:p>
    <w:p w:rsidR="00AD58C1" w:rsidRDefault="00AD58C1" w:rsidP="00996E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Anch</w:t>
      </w:r>
      <w:r w:rsidR="00D97C22">
        <w:rPr>
          <w:rFonts w:ascii="Times New Roman" w:hAnsi="Times New Roman" w:cs="Times New Roman"/>
          <w:sz w:val="28"/>
          <w:szCs w:val="28"/>
        </w:rPr>
        <w:t>e rispetto all’art. 562</w:t>
      </w:r>
      <w:r>
        <w:rPr>
          <w:rFonts w:ascii="Times New Roman" w:hAnsi="Times New Roman" w:cs="Times New Roman"/>
          <w:sz w:val="28"/>
          <w:szCs w:val="28"/>
        </w:rPr>
        <w:t xml:space="preserve">, si pone il problema </w:t>
      </w:r>
      <w:r w:rsidRPr="00887F92">
        <w:rPr>
          <w:rFonts w:ascii="Times New Roman" w:hAnsi="Times New Roman" w:cs="Times New Roman"/>
          <w:b/>
          <w:sz w:val="28"/>
          <w:szCs w:val="28"/>
        </w:rPr>
        <w:t xml:space="preserve">della identificazione del </w:t>
      </w:r>
      <w:r w:rsidR="005951CC">
        <w:rPr>
          <w:rFonts w:ascii="Times New Roman" w:hAnsi="Times New Roman" w:cs="Times New Roman"/>
          <w:b/>
          <w:sz w:val="28"/>
          <w:szCs w:val="28"/>
        </w:rPr>
        <w:t>momento in cui si perfeziona il</w:t>
      </w:r>
      <w:r w:rsidRPr="00887F92">
        <w:rPr>
          <w:rFonts w:ascii="Times New Roman" w:hAnsi="Times New Roman" w:cs="Times New Roman"/>
          <w:b/>
          <w:sz w:val="28"/>
          <w:szCs w:val="28"/>
        </w:rPr>
        <w:t xml:space="preserve"> pignoramento</w:t>
      </w:r>
      <w:r w:rsidR="002953E4">
        <w:rPr>
          <w:rFonts w:ascii="Times New Roman" w:hAnsi="Times New Roman" w:cs="Times New Roman"/>
          <w:sz w:val="28"/>
          <w:szCs w:val="28"/>
        </w:rPr>
        <w:t>, che vede opinioni contrapposte</w:t>
      </w:r>
      <w:r w:rsidR="00C66B2A">
        <w:rPr>
          <w:rFonts w:ascii="Times New Roman" w:hAnsi="Times New Roman" w:cs="Times New Roman"/>
          <w:sz w:val="28"/>
          <w:szCs w:val="28"/>
          <w:highlight w:val="yellow"/>
        </w:rPr>
        <w:t>.</w:t>
      </w:r>
      <w:r w:rsidR="00B66547" w:rsidRPr="00B66547">
        <w:rPr>
          <w:rFonts w:ascii="Times New Roman" w:hAnsi="Times New Roman" w:cs="Times New Roman"/>
          <w:sz w:val="28"/>
          <w:szCs w:val="28"/>
          <w:highlight w:val="yellow"/>
        </w:rPr>
        <w:t xml:space="preserve"> </w:t>
      </w:r>
      <w:proofErr w:type="gramStart"/>
      <w:r w:rsidR="00C66B2A">
        <w:rPr>
          <w:rFonts w:ascii="Times New Roman" w:hAnsi="Times New Roman" w:cs="Times New Roman"/>
          <w:sz w:val="28"/>
          <w:szCs w:val="28"/>
          <w:highlight w:val="yellow"/>
        </w:rPr>
        <w:t>E’</w:t>
      </w:r>
      <w:proofErr w:type="gramEnd"/>
      <w:r w:rsidR="00B66547" w:rsidRPr="00B66547">
        <w:rPr>
          <w:rFonts w:ascii="Times New Roman" w:hAnsi="Times New Roman" w:cs="Times New Roman"/>
          <w:sz w:val="28"/>
          <w:szCs w:val="28"/>
          <w:highlight w:val="yellow"/>
        </w:rPr>
        <w:t xml:space="preserve"> discusso</w:t>
      </w:r>
      <w:r w:rsidR="001D6DAD">
        <w:rPr>
          <w:rFonts w:ascii="Times New Roman" w:hAnsi="Times New Roman" w:cs="Times New Roman"/>
          <w:sz w:val="28"/>
          <w:szCs w:val="28"/>
          <w:highlight w:val="yellow"/>
        </w:rPr>
        <w:t>, infatti,</w:t>
      </w:r>
      <w:r w:rsidR="00B66547" w:rsidRPr="00B66547">
        <w:rPr>
          <w:rFonts w:ascii="Times New Roman" w:hAnsi="Times New Roman" w:cs="Times New Roman"/>
          <w:sz w:val="28"/>
          <w:szCs w:val="28"/>
          <w:highlight w:val="yellow"/>
        </w:rPr>
        <w:t xml:space="preserve"> se il </w:t>
      </w:r>
      <w:proofErr w:type="spellStart"/>
      <w:r w:rsidR="00B66547" w:rsidRPr="00B66547">
        <w:rPr>
          <w:rFonts w:ascii="Times New Roman" w:hAnsi="Times New Roman" w:cs="Times New Roman"/>
          <w:i/>
          <w:sz w:val="28"/>
          <w:szCs w:val="28"/>
          <w:highlight w:val="yellow"/>
        </w:rPr>
        <w:t>dies</w:t>
      </w:r>
      <w:proofErr w:type="spellEnd"/>
      <w:r w:rsidR="00B66547" w:rsidRPr="00B66547">
        <w:rPr>
          <w:rFonts w:ascii="Times New Roman" w:hAnsi="Times New Roman" w:cs="Times New Roman"/>
          <w:i/>
          <w:sz w:val="28"/>
          <w:szCs w:val="28"/>
          <w:highlight w:val="yellow"/>
        </w:rPr>
        <w:t xml:space="preserve"> a quo</w:t>
      </w:r>
      <w:r w:rsidR="00B66547" w:rsidRPr="00B66547">
        <w:rPr>
          <w:rFonts w:ascii="Times New Roman" w:hAnsi="Times New Roman" w:cs="Times New Roman"/>
          <w:sz w:val="28"/>
          <w:szCs w:val="28"/>
          <w:highlight w:val="yellow"/>
        </w:rPr>
        <w:t xml:space="preserve"> del termine di inefficacia </w:t>
      </w:r>
      <w:r w:rsidR="005951CC">
        <w:rPr>
          <w:rFonts w:ascii="Times New Roman" w:hAnsi="Times New Roman" w:cs="Times New Roman"/>
          <w:sz w:val="28"/>
          <w:szCs w:val="28"/>
          <w:highlight w:val="yellow"/>
        </w:rPr>
        <w:t xml:space="preserve">del pignoramento immobiliare </w:t>
      </w:r>
      <w:r w:rsidR="00B66547" w:rsidRPr="00B66547">
        <w:rPr>
          <w:rFonts w:ascii="Times New Roman" w:hAnsi="Times New Roman" w:cs="Times New Roman"/>
          <w:sz w:val="28"/>
          <w:szCs w:val="28"/>
          <w:highlight w:val="yellow"/>
        </w:rPr>
        <w:t>decorra dalla trascrizi</w:t>
      </w:r>
      <w:r w:rsidR="005951CC">
        <w:rPr>
          <w:rFonts w:ascii="Times New Roman" w:hAnsi="Times New Roman" w:cs="Times New Roman"/>
          <w:sz w:val="28"/>
          <w:szCs w:val="28"/>
          <w:highlight w:val="yellow"/>
        </w:rPr>
        <w:t>one</w:t>
      </w:r>
      <w:r w:rsidR="00B66547" w:rsidRPr="00B66547">
        <w:rPr>
          <w:rFonts w:ascii="Times New Roman" w:hAnsi="Times New Roman" w:cs="Times New Roman"/>
          <w:sz w:val="28"/>
          <w:szCs w:val="28"/>
          <w:highlight w:val="yellow"/>
        </w:rPr>
        <w:t xml:space="preserve"> o</w:t>
      </w:r>
      <w:r w:rsidR="00B60FE1">
        <w:rPr>
          <w:rFonts w:ascii="Times New Roman" w:hAnsi="Times New Roman" w:cs="Times New Roman"/>
          <w:sz w:val="28"/>
          <w:szCs w:val="28"/>
          <w:highlight w:val="yellow"/>
        </w:rPr>
        <w:t xml:space="preserve"> dalla data della notificazione, visto che </w:t>
      </w:r>
      <w:r w:rsidR="00B60FE1" w:rsidRPr="00B60FE1">
        <w:rPr>
          <w:rFonts w:ascii="Times New Roman" w:hAnsi="Times New Roman" w:cs="Times New Roman"/>
          <w:sz w:val="28"/>
          <w:szCs w:val="28"/>
          <w:highlight w:val="yellow"/>
        </w:rPr>
        <w:t xml:space="preserve">l’art. 497 dice </w:t>
      </w:r>
      <w:r w:rsidR="00C66B2A">
        <w:rPr>
          <w:rFonts w:ascii="Times New Roman" w:hAnsi="Times New Roman" w:cs="Times New Roman"/>
          <w:sz w:val="28"/>
          <w:szCs w:val="28"/>
          <w:highlight w:val="yellow"/>
        </w:rPr>
        <w:t>“</w:t>
      </w:r>
      <w:r w:rsidR="00B60FE1" w:rsidRPr="00B60FE1">
        <w:rPr>
          <w:rFonts w:ascii="Times New Roman" w:hAnsi="Times New Roman" w:cs="Times New Roman"/>
          <w:sz w:val="28"/>
          <w:szCs w:val="28"/>
          <w:highlight w:val="yellow"/>
        </w:rPr>
        <w:t xml:space="preserve">il pignoramento perde efficacia quando </w:t>
      </w:r>
      <w:r w:rsidR="00B60FE1" w:rsidRPr="00B60FE1">
        <w:rPr>
          <w:rFonts w:ascii="Times New Roman" w:hAnsi="Times New Roman" w:cs="Times New Roman"/>
          <w:b/>
          <w:sz w:val="28"/>
          <w:szCs w:val="28"/>
          <w:highlight w:val="yellow"/>
        </w:rPr>
        <w:t>dal suo compimento</w:t>
      </w:r>
      <w:r w:rsidR="00B60FE1" w:rsidRPr="00B60FE1">
        <w:rPr>
          <w:rFonts w:ascii="Times New Roman" w:hAnsi="Times New Roman" w:cs="Times New Roman"/>
          <w:sz w:val="28"/>
          <w:szCs w:val="28"/>
          <w:highlight w:val="yellow"/>
        </w:rPr>
        <w:t xml:space="preserve"> sono trascorsi quarantacinque giorni senza che sia stata chiesta l’assegnazione o la vendita</w:t>
      </w:r>
      <w:r w:rsidR="00C66B2A" w:rsidRPr="00C66B2A">
        <w:rPr>
          <w:rFonts w:ascii="Times New Roman" w:hAnsi="Times New Roman" w:cs="Times New Roman"/>
          <w:sz w:val="28"/>
          <w:szCs w:val="28"/>
          <w:highlight w:val="yellow"/>
        </w:rPr>
        <w:t>”</w:t>
      </w:r>
      <w:r w:rsidR="00B60FE1" w:rsidRPr="00C66B2A">
        <w:rPr>
          <w:rFonts w:ascii="Times New Roman" w:hAnsi="Times New Roman" w:cs="Times New Roman"/>
          <w:sz w:val="28"/>
          <w:szCs w:val="28"/>
          <w:highlight w:val="yellow"/>
        </w:rPr>
        <w:t>.</w:t>
      </w:r>
    </w:p>
    <w:p w:rsidR="002953E4" w:rsidRDefault="002953E4" w:rsidP="00996E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Si ritiene preferibile coordinare la disposizione con tutte le altre ipotesi di cancellazione del pignoramento </w:t>
      </w:r>
      <w:r w:rsidRPr="00A87EFC">
        <w:rPr>
          <w:rFonts w:ascii="Times New Roman" w:hAnsi="Times New Roman" w:cs="Times New Roman"/>
          <w:sz w:val="28"/>
          <w:szCs w:val="28"/>
        </w:rPr>
        <w:t>→</w:t>
      </w:r>
      <w:r>
        <w:rPr>
          <w:rFonts w:ascii="Times New Roman" w:hAnsi="Times New Roman" w:cs="Times New Roman"/>
          <w:sz w:val="28"/>
          <w:szCs w:val="28"/>
        </w:rPr>
        <w:t xml:space="preserve"> art. 629, 630, 631 e 309, 504 e 163 </w:t>
      </w:r>
      <w:proofErr w:type="spellStart"/>
      <w:r>
        <w:rPr>
          <w:rFonts w:ascii="Times New Roman" w:hAnsi="Times New Roman" w:cs="Times New Roman"/>
          <w:sz w:val="28"/>
          <w:szCs w:val="28"/>
        </w:rPr>
        <w:t>disp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att</w:t>
      </w:r>
      <w:proofErr w:type="spellEnd"/>
      <w:r>
        <w:rPr>
          <w:rFonts w:ascii="Times New Roman" w:hAnsi="Times New Roman" w:cs="Times New Roman"/>
          <w:sz w:val="28"/>
          <w:szCs w:val="28"/>
        </w:rPr>
        <w:t>., 586, 495, 496, 483, 567, 558, rispetto alle quali opera l</w:t>
      </w:r>
      <w:r w:rsidR="00887F92">
        <w:rPr>
          <w:rFonts w:ascii="Times New Roman" w:hAnsi="Times New Roman" w:cs="Times New Roman"/>
          <w:sz w:val="28"/>
          <w:szCs w:val="28"/>
        </w:rPr>
        <w:t>’</w:t>
      </w:r>
      <w:r>
        <w:rPr>
          <w:rFonts w:ascii="Times New Roman" w:hAnsi="Times New Roman" w:cs="Times New Roman"/>
          <w:sz w:val="28"/>
          <w:szCs w:val="28"/>
        </w:rPr>
        <w:t xml:space="preserve">obbligo di sentire le parti </w:t>
      </w:r>
      <w:r w:rsidRPr="00A87EFC">
        <w:rPr>
          <w:rFonts w:ascii="Times New Roman" w:hAnsi="Times New Roman" w:cs="Times New Roman"/>
          <w:sz w:val="28"/>
          <w:szCs w:val="28"/>
        </w:rPr>
        <w:t>→</w:t>
      </w:r>
      <w:r>
        <w:rPr>
          <w:rFonts w:ascii="Times New Roman" w:hAnsi="Times New Roman" w:cs="Times New Roman"/>
          <w:sz w:val="28"/>
          <w:szCs w:val="28"/>
        </w:rPr>
        <w:t xml:space="preserve"> 172 </w:t>
      </w:r>
      <w:proofErr w:type="spellStart"/>
      <w:r>
        <w:rPr>
          <w:rFonts w:ascii="Times New Roman" w:hAnsi="Times New Roman" w:cs="Times New Roman"/>
          <w:sz w:val="28"/>
          <w:szCs w:val="28"/>
        </w:rPr>
        <w:t>disp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att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c.p.c.</w:t>
      </w:r>
      <w:proofErr w:type="spellEnd"/>
      <w:r>
        <w:rPr>
          <w:rFonts w:ascii="Times New Roman" w:hAnsi="Times New Roman" w:cs="Times New Roman"/>
          <w:sz w:val="28"/>
          <w:szCs w:val="28"/>
        </w:rPr>
        <w:t xml:space="preserve"> </w:t>
      </w:r>
    </w:p>
    <w:p w:rsidR="002953E4" w:rsidRDefault="00F16BC1" w:rsidP="00996EF8">
      <w:pPr>
        <w:spacing w:after="0" w:line="240" w:lineRule="auto"/>
        <w:jc w:val="both"/>
        <w:rPr>
          <w:rFonts w:ascii="Times New Roman" w:hAnsi="Times New Roman" w:cs="Times New Roman"/>
          <w:sz w:val="28"/>
          <w:szCs w:val="28"/>
        </w:rPr>
      </w:pPr>
      <w:r w:rsidRPr="001B64CE">
        <w:rPr>
          <w:rFonts w:ascii="Times New Roman" w:hAnsi="Times New Roman" w:cs="Times New Roman"/>
          <w:sz w:val="28"/>
          <w:szCs w:val="28"/>
          <w:highlight w:val="yellow"/>
        </w:rPr>
        <w:t xml:space="preserve">Il problema interpretativo che si è posto in dottrina e in giurisprudenza, premesso che l’inefficacia del pignoramento comporta l’estinzione del processo esecutivo, riguarda le modalità con cui far valere questa causa di estinzione. Secondo un primo orientamento l’inefficacia del pignoramento per violazione del termine di cui all’art. 497 deve essere rilevata con opposizione agli atti esecutivi, da proporsi nel termine di venti giorni dal compimento del primo </w:t>
      </w:r>
      <w:r w:rsidR="001B64CE" w:rsidRPr="001B64CE">
        <w:rPr>
          <w:rFonts w:ascii="Times New Roman" w:hAnsi="Times New Roman" w:cs="Times New Roman"/>
          <w:sz w:val="28"/>
          <w:szCs w:val="28"/>
          <w:highlight w:val="yellow"/>
        </w:rPr>
        <w:t>atto esecutivo successivo al fatto estintivo o comunque non oltr</w:t>
      </w:r>
      <w:r w:rsidR="001B64CE">
        <w:rPr>
          <w:rFonts w:ascii="Times New Roman" w:hAnsi="Times New Roman" w:cs="Times New Roman"/>
          <w:sz w:val="28"/>
          <w:szCs w:val="28"/>
          <w:highlight w:val="yellow"/>
        </w:rPr>
        <w:t>e</w:t>
      </w:r>
      <w:r w:rsidR="001B64CE" w:rsidRPr="001B64CE">
        <w:rPr>
          <w:rFonts w:ascii="Times New Roman" w:hAnsi="Times New Roman" w:cs="Times New Roman"/>
          <w:sz w:val="28"/>
          <w:szCs w:val="28"/>
          <w:highlight w:val="yellow"/>
        </w:rPr>
        <w:t xml:space="preserve"> la prima udienza fissata per l’autorizzazione della vendita</w:t>
      </w:r>
      <w:r w:rsidR="001B64CE" w:rsidRPr="00DF23B0">
        <w:rPr>
          <w:rFonts w:ascii="Times New Roman" w:hAnsi="Times New Roman" w:cs="Times New Roman"/>
          <w:sz w:val="28"/>
          <w:szCs w:val="28"/>
          <w:highlight w:val="yellow"/>
        </w:rPr>
        <w:t>.</w:t>
      </w:r>
      <w:r w:rsidRPr="00DF23B0">
        <w:rPr>
          <w:rFonts w:ascii="Times New Roman" w:hAnsi="Times New Roman" w:cs="Times New Roman"/>
          <w:sz w:val="28"/>
          <w:szCs w:val="28"/>
          <w:highlight w:val="yellow"/>
        </w:rPr>
        <w:t xml:space="preserve"> </w:t>
      </w:r>
      <w:r w:rsidR="00DF23B0" w:rsidRPr="00DF23B0">
        <w:rPr>
          <w:rFonts w:ascii="Times New Roman" w:hAnsi="Times New Roman" w:cs="Times New Roman"/>
          <w:sz w:val="28"/>
          <w:szCs w:val="28"/>
          <w:highlight w:val="yellow"/>
        </w:rPr>
        <w:t>C’è poi un altro orientamento che ritiene che l’ipotesi in oggetto deve essere ricondotta tra le cause estintive del processo esecutivo previste dall’art. 630. Pertanto, la parte interessata potrebbe proporre eccezione di estinzione anche oralmente alla udienza fissata per l’assegnazione o la vendita</w:t>
      </w:r>
      <w:r w:rsidR="00DF23B0" w:rsidRPr="006E2549">
        <w:rPr>
          <w:rFonts w:ascii="Times New Roman" w:hAnsi="Times New Roman" w:cs="Times New Roman"/>
          <w:sz w:val="28"/>
          <w:szCs w:val="28"/>
          <w:highlight w:val="yellow"/>
        </w:rPr>
        <w:t>.</w:t>
      </w:r>
      <w:r w:rsidR="00D303EB" w:rsidRPr="006E2549">
        <w:rPr>
          <w:rFonts w:ascii="Times New Roman" w:hAnsi="Times New Roman" w:cs="Times New Roman"/>
          <w:sz w:val="28"/>
          <w:szCs w:val="28"/>
          <w:highlight w:val="yellow"/>
        </w:rPr>
        <w:t xml:space="preserve"> Nell’attuale quadro normativo determinatosi con la legge n.</w:t>
      </w:r>
      <w:r w:rsidR="00D20EFC">
        <w:rPr>
          <w:rFonts w:ascii="Times New Roman" w:hAnsi="Times New Roman" w:cs="Times New Roman"/>
          <w:sz w:val="28"/>
          <w:szCs w:val="28"/>
          <w:highlight w:val="yellow"/>
        </w:rPr>
        <w:t xml:space="preserve"> </w:t>
      </w:r>
      <w:r w:rsidR="00D303EB" w:rsidRPr="006E2549">
        <w:rPr>
          <w:rFonts w:ascii="Times New Roman" w:hAnsi="Times New Roman" w:cs="Times New Roman"/>
          <w:sz w:val="28"/>
          <w:szCs w:val="28"/>
          <w:highlight w:val="yellow"/>
        </w:rPr>
        <w:t xml:space="preserve">69/2009 che ha novellato l’art. 630 </w:t>
      </w:r>
      <w:proofErr w:type="spellStart"/>
      <w:r w:rsidR="00D303EB" w:rsidRPr="006E2549">
        <w:rPr>
          <w:rFonts w:ascii="Times New Roman" w:hAnsi="Times New Roman" w:cs="Times New Roman"/>
          <w:sz w:val="28"/>
          <w:szCs w:val="28"/>
          <w:highlight w:val="yellow"/>
        </w:rPr>
        <w:t>c.p.c.</w:t>
      </w:r>
      <w:proofErr w:type="spellEnd"/>
      <w:r w:rsidR="00D303EB" w:rsidRPr="006E2549">
        <w:rPr>
          <w:rFonts w:ascii="Times New Roman" w:hAnsi="Times New Roman" w:cs="Times New Roman"/>
          <w:sz w:val="28"/>
          <w:szCs w:val="28"/>
          <w:highlight w:val="yellow"/>
        </w:rPr>
        <w:t xml:space="preserve">, che ora attribuisce al </w:t>
      </w:r>
      <w:proofErr w:type="spellStart"/>
      <w:r w:rsidR="00D303EB" w:rsidRPr="006E2549">
        <w:rPr>
          <w:rFonts w:ascii="Times New Roman" w:hAnsi="Times New Roman" w:cs="Times New Roman"/>
          <w:sz w:val="28"/>
          <w:szCs w:val="28"/>
          <w:highlight w:val="yellow"/>
        </w:rPr>
        <w:t>g.e</w:t>
      </w:r>
      <w:proofErr w:type="spellEnd"/>
      <w:r w:rsidR="00D303EB" w:rsidRPr="006E2549">
        <w:rPr>
          <w:rFonts w:ascii="Times New Roman" w:hAnsi="Times New Roman" w:cs="Times New Roman"/>
          <w:sz w:val="28"/>
          <w:szCs w:val="28"/>
          <w:highlight w:val="yellow"/>
        </w:rPr>
        <w:t xml:space="preserve">. il potere di dichiarare anche d’ufficio l’estinzione del processo esecutivo per inattività delle parti non oltre la prima udienza successiva al verificarsi della causa estintiva, si ritiene che il giudice possa dichiarare, d’ufficio o su sollecitazione della parte, l’estinzione per inefficacia del pignoramento, conseguente alla violazione dell’art. 497, alla prima udienza fissata per la comparizione dei creditori e del debitore. L’estinzione pronunciata al di fuori di una opposizione agli atti assume la forma dell’ordinanza, </w:t>
      </w:r>
      <w:r w:rsidR="00D303EB" w:rsidRPr="006E2549">
        <w:rPr>
          <w:rFonts w:ascii="Times New Roman" w:hAnsi="Times New Roman" w:cs="Times New Roman"/>
          <w:sz w:val="28"/>
          <w:szCs w:val="28"/>
          <w:highlight w:val="yellow"/>
        </w:rPr>
        <w:lastRenderedPageBreak/>
        <w:t>presuppone la preventiva audizione delle parti ed è soggetta a reclamo.</w:t>
      </w:r>
      <w:r w:rsidR="006E2549" w:rsidRPr="006E2549">
        <w:rPr>
          <w:rFonts w:ascii="Times New Roman" w:hAnsi="Times New Roman" w:cs="Times New Roman"/>
          <w:sz w:val="28"/>
          <w:szCs w:val="28"/>
          <w:highlight w:val="yellow"/>
        </w:rPr>
        <w:t xml:space="preserve"> In sede di reclamo il collegio decide con sentenza se lo respinge, confermando in tal modo l’estinzione, e avverso tale sentenza è possibile fare appello → 130 </w:t>
      </w:r>
      <w:proofErr w:type="spellStart"/>
      <w:r w:rsidR="006E2549" w:rsidRPr="006E2549">
        <w:rPr>
          <w:rFonts w:ascii="Times New Roman" w:hAnsi="Times New Roman" w:cs="Times New Roman"/>
          <w:sz w:val="28"/>
          <w:szCs w:val="28"/>
          <w:highlight w:val="yellow"/>
        </w:rPr>
        <w:t>disp</w:t>
      </w:r>
      <w:proofErr w:type="spellEnd"/>
      <w:r w:rsidR="006E2549" w:rsidRPr="006E2549">
        <w:rPr>
          <w:rFonts w:ascii="Times New Roman" w:hAnsi="Times New Roman" w:cs="Times New Roman"/>
          <w:sz w:val="28"/>
          <w:szCs w:val="28"/>
          <w:highlight w:val="yellow"/>
        </w:rPr>
        <w:t xml:space="preserve">. </w:t>
      </w:r>
      <w:proofErr w:type="spellStart"/>
      <w:r w:rsidR="006E2549" w:rsidRPr="006E2549">
        <w:rPr>
          <w:rFonts w:ascii="Times New Roman" w:hAnsi="Times New Roman" w:cs="Times New Roman"/>
          <w:sz w:val="28"/>
          <w:szCs w:val="28"/>
          <w:highlight w:val="yellow"/>
        </w:rPr>
        <w:t>att</w:t>
      </w:r>
      <w:proofErr w:type="spellEnd"/>
      <w:r w:rsidR="006E2549" w:rsidRPr="006E2549">
        <w:rPr>
          <w:rFonts w:ascii="Times New Roman" w:hAnsi="Times New Roman" w:cs="Times New Roman"/>
          <w:sz w:val="28"/>
          <w:szCs w:val="28"/>
          <w:highlight w:val="yellow"/>
        </w:rPr>
        <w:t xml:space="preserve">. </w:t>
      </w:r>
      <w:proofErr w:type="spellStart"/>
      <w:r w:rsidR="006E2549" w:rsidRPr="006E2549">
        <w:rPr>
          <w:rFonts w:ascii="Times New Roman" w:hAnsi="Times New Roman" w:cs="Times New Roman"/>
          <w:sz w:val="28"/>
          <w:szCs w:val="28"/>
          <w:highlight w:val="yellow"/>
        </w:rPr>
        <w:t>c.p.c.</w:t>
      </w:r>
      <w:proofErr w:type="spellEnd"/>
      <w:r w:rsidR="006E2549">
        <w:rPr>
          <w:rFonts w:ascii="Times New Roman" w:hAnsi="Times New Roman" w:cs="Times New Roman"/>
          <w:sz w:val="28"/>
          <w:szCs w:val="28"/>
        </w:rPr>
        <w:t xml:space="preserve"> </w:t>
      </w:r>
      <w:r w:rsidR="00DF23B0">
        <w:rPr>
          <w:rFonts w:ascii="Times New Roman" w:hAnsi="Times New Roman" w:cs="Times New Roman"/>
          <w:sz w:val="28"/>
          <w:szCs w:val="28"/>
        </w:rPr>
        <w:t xml:space="preserve"> </w:t>
      </w:r>
      <w:r w:rsidR="002953E4" w:rsidRPr="002953E4">
        <w:rPr>
          <w:rFonts w:ascii="Times New Roman" w:hAnsi="Times New Roman" w:cs="Times New Roman"/>
          <w:sz w:val="28"/>
          <w:szCs w:val="28"/>
        </w:rPr>
        <w:t xml:space="preserve"> </w:t>
      </w:r>
    </w:p>
    <w:p w:rsidR="002953E4" w:rsidRDefault="002953E4" w:rsidP="00996E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Prevale l</w:t>
      </w:r>
      <w:r w:rsidR="00887F92">
        <w:rPr>
          <w:rFonts w:ascii="Times New Roman" w:hAnsi="Times New Roman" w:cs="Times New Roman"/>
          <w:sz w:val="28"/>
          <w:szCs w:val="28"/>
        </w:rPr>
        <w:t>’</w:t>
      </w:r>
      <w:r>
        <w:rPr>
          <w:rFonts w:ascii="Times New Roman" w:hAnsi="Times New Roman" w:cs="Times New Roman"/>
          <w:sz w:val="28"/>
          <w:szCs w:val="28"/>
        </w:rPr>
        <w:t>opinione secondo cui i</w:t>
      </w:r>
      <w:r w:rsidRPr="002953E4">
        <w:rPr>
          <w:rFonts w:ascii="Times New Roman" w:hAnsi="Times New Roman" w:cs="Times New Roman"/>
          <w:sz w:val="28"/>
          <w:szCs w:val="28"/>
        </w:rPr>
        <w:t xml:space="preserve">l conservatore dei registri </w:t>
      </w:r>
      <w:r>
        <w:rPr>
          <w:rFonts w:ascii="Times New Roman" w:hAnsi="Times New Roman" w:cs="Times New Roman"/>
          <w:sz w:val="28"/>
          <w:szCs w:val="28"/>
        </w:rPr>
        <w:t xml:space="preserve">immobiliari può </w:t>
      </w:r>
      <w:r w:rsidRPr="002953E4">
        <w:rPr>
          <w:rFonts w:ascii="Times New Roman" w:hAnsi="Times New Roman" w:cs="Times New Roman"/>
          <w:sz w:val="28"/>
          <w:szCs w:val="28"/>
        </w:rPr>
        <w:t>provvedere alla cancellazione solo dopo che l</w:t>
      </w:r>
      <w:r w:rsidR="00887F92">
        <w:rPr>
          <w:rFonts w:ascii="Times New Roman" w:hAnsi="Times New Roman" w:cs="Times New Roman"/>
          <w:sz w:val="28"/>
          <w:szCs w:val="28"/>
        </w:rPr>
        <w:t>’</w:t>
      </w:r>
      <w:r w:rsidRPr="002953E4">
        <w:rPr>
          <w:rFonts w:ascii="Times New Roman" w:hAnsi="Times New Roman" w:cs="Times New Roman"/>
          <w:sz w:val="28"/>
          <w:szCs w:val="28"/>
        </w:rPr>
        <w:t>ordinanza contenente l</w:t>
      </w:r>
      <w:r w:rsidR="00887F92">
        <w:rPr>
          <w:rFonts w:ascii="Times New Roman" w:hAnsi="Times New Roman" w:cs="Times New Roman"/>
          <w:sz w:val="28"/>
          <w:szCs w:val="28"/>
        </w:rPr>
        <w:t>’</w:t>
      </w:r>
      <w:r w:rsidRPr="002953E4">
        <w:rPr>
          <w:rFonts w:ascii="Times New Roman" w:hAnsi="Times New Roman" w:cs="Times New Roman"/>
          <w:sz w:val="28"/>
          <w:szCs w:val="28"/>
        </w:rPr>
        <w:t>ordine giudiziale di cancellazione sia divenuta </w:t>
      </w:r>
      <w:r w:rsidRPr="002953E4">
        <w:rPr>
          <w:rFonts w:ascii="Times New Roman" w:hAnsi="Times New Roman" w:cs="Times New Roman"/>
          <w:bCs/>
          <w:sz w:val="28"/>
          <w:szCs w:val="28"/>
        </w:rPr>
        <w:t>irreclamabile</w:t>
      </w:r>
      <w:r w:rsidRPr="002953E4">
        <w:rPr>
          <w:rFonts w:ascii="Times New Roman" w:hAnsi="Times New Roman" w:cs="Times New Roman"/>
          <w:sz w:val="28"/>
          <w:szCs w:val="28"/>
        </w:rPr>
        <w:t> o sia </w:t>
      </w:r>
      <w:r w:rsidRPr="002953E4">
        <w:rPr>
          <w:rFonts w:ascii="Times New Roman" w:hAnsi="Times New Roman" w:cs="Times New Roman"/>
          <w:bCs/>
          <w:sz w:val="28"/>
          <w:szCs w:val="28"/>
        </w:rPr>
        <w:t>passata in giudicato</w:t>
      </w:r>
      <w:r w:rsidRPr="002953E4">
        <w:rPr>
          <w:rFonts w:ascii="Times New Roman" w:hAnsi="Times New Roman" w:cs="Times New Roman"/>
          <w:sz w:val="28"/>
          <w:szCs w:val="28"/>
        </w:rPr>
        <w:t> la sentenza che resp</w:t>
      </w:r>
      <w:r>
        <w:rPr>
          <w:rFonts w:ascii="Times New Roman" w:hAnsi="Times New Roman" w:cs="Times New Roman"/>
          <w:sz w:val="28"/>
          <w:szCs w:val="28"/>
        </w:rPr>
        <w:t>inge il reclamo, il che può essere dimostrato con l</w:t>
      </w:r>
      <w:r w:rsidR="00887F92">
        <w:rPr>
          <w:rFonts w:ascii="Times New Roman" w:hAnsi="Times New Roman" w:cs="Times New Roman"/>
          <w:sz w:val="28"/>
          <w:szCs w:val="28"/>
        </w:rPr>
        <w:t>’</w:t>
      </w:r>
      <w:r>
        <w:rPr>
          <w:rFonts w:ascii="Times New Roman" w:hAnsi="Times New Roman" w:cs="Times New Roman"/>
          <w:sz w:val="28"/>
          <w:szCs w:val="28"/>
        </w:rPr>
        <w:t xml:space="preserve">attestazione rilasciata dal </w:t>
      </w:r>
      <w:r w:rsidRPr="002953E4">
        <w:rPr>
          <w:rFonts w:ascii="Times New Roman" w:hAnsi="Times New Roman" w:cs="Times New Roman"/>
          <w:sz w:val="28"/>
          <w:szCs w:val="28"/>
        </w:rPr>
        <w:t>cancelliere che non è stato presentato reclamo</w:t>
      </w:r>
      <w:r>
        <w:rPr>
          <w:rFonts w:ascii="Times New Roman" w:hAnsi="Times New Roman" w:cs="Times New Roman"/>
          <w:sz w:val="28"/>
          <w:szCs w:val="28"/>
        </w:rPr>
        <w:t xml:space="preserve"> o appello.</w:t>
      </w:r>
    </w:p>
    <w:p w:rsidR="00607C7A" w:rsidRDefault="00D20EFC" w:rsidP="00D20E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In ultimo</w:t>
      </w:r>
      <w:r>
        <w:rPr>
          <w:rFonts w:ascii="Times New Roman" w:hAnsi="Times New Roman" w:cs="Times New Roman"/>
          <w:sz w:val="28"/>
          <w:szCs w:val="28"/>
        </w:rPr>
        <w:t xml:space="preserve">, occorre considerare che la </w:t>
      </w:r>
      <w:r w:rsidRPr="00887F92">
        <w:rPr>
          <w:rFonts w:ascii="Times New Roman" w:hAnsi="Times New Roman" w:cs="Times New Roman"/>
          <w:b/>
          <w:sz w:val="28"/>
          <w:szCs w:val="28"/>
        </w:rPr>
        <w:t>trascrizione</w:t>
      </w:r>
      <w:r>
        <w:rPr>
          <w:rFonts w:ascii="Times New Roman" w:hAnsi="Times New Roman" w:cs="Times New Roman"/>
          <w:sz w:val="28"/>
          <w:szCs w:val="28"/>
        </w:rPr>
        <w:t xml:space="preserve"> del pignoramento immobiliare </w:t>
      </w:r>
      <w:r w:rsidRPr="00887F92">
        <w:rPr>
          <w:rFonts w:ascii="Times New Roman" w:hAnsi="Times New Roman" w:cs="Times New Roman"/>
          <w:b/>
          <w:sz w:val="28"/>
          <w:szCs w:val="28"/>
        </w:rPr>
        <w:t>perde efficacia</w:t>
      </w:r>
      <w:r>
        <w:rPr>
          <w:rFonts w:ascii="Times New Roman" w:hAnsi="Times New Roman" w:cs="Times New Roman"/>
          <w:sz w:val="28"/>
          <w:szCs w:val="28"/>
        </w:rPr>
        <w:t xml:space="preserve"> con il decorso del </w:t>
      </w:r>
      <w:r w:rsidRPr="00887F92">
        <w:rPr>
          <w:rFonts w:ascii="Times New Roman" w:hAnsi="Times New Roman" w:cs="Times New Roman"/>
          <w:b/>
          <w:sz w:val="28"/>
          <w:szCs w:val="28"/>
        </w:rPr>
        <w:t>termine di venti anni</w:t>
      </w:r>
      <w:r>
        <w:rPr>
          <w:rFonts w:ascii="Times New Roman" w:hAnsi="Times New Roman" w:cs="Times New Roman"/>
          <w:sz w:val="28"/>
          <w:szCs w:val="28"/>
        </w:rPr>
        <w:t xml:space="preserve">, salva la sua rinnovazione prima della scadenza </w:t>
      </w:r>
      <w:r w:rsidRPr="00A87EFC">
        <w:rPr>
          <w:rFonts w:ascii="Times New Roman" w:hAnsi="Times New Roman" w:cs="Times New Roman"/>
          <w:sz w:val="28"/>
          <w:szCs w:val="28"/>
        </w:rPr>
        <w:t>→</w:t>
      </w:r>
      <w:r>
        <w:rPr>
          <w:rFonts w:ascii="Times New Roman" w:hAnsi="Times New Roman" w:cs="Times New Roman"/>
          <w:sz w:val="28"/>
          <w:szCs w:val="28"/>
        </w:rPr>
        <w:t xml:space="preserve"> art. 2668 </w:t>
      </w:r>
      <w:r>
        <w:rPr>
          <w:rFonts w:ascii="Times New Roman" w:hAnsi="Times New Roman" w:cs="Times New Roman"/>
          <w:i/>
          <w:sz w:val="28"/>
          <w:szCs w:val="28"/>
        </w:rPr>
        <w:t>bis</w:t>
      </w:r>
      <w:r>
        <w:rPr>
          <w:rFonts w:ascii="Times New Roman" w:hAnsi="Times New Roman" w:cs="Times New Roman"/>
          <w:sz w:val="28"/>
          <w:szCs w:val="28"/>
        </w:rPr>
        <w:t xml:space="preserve"> e 2668 </w:t>
      </w:r>
      <w:r>
        <w:rPr>
          <w:rFonts w:ascii="Times New Roman" w:hAnsi="Times New Roman" w:cs="Times New Roman"/>
          <w:i/>
          <w:sz w:val="28"/>
          <w:szCs w:val="28"/>
        </w:rPr>
        <w:t>ter</w:t>
      </w:r>
      <w:r>
        <w:rPr>
          <w:rFonts w:ascii="Times New Roman" w:hAnsi="Times New Roman" w:cs="Times New Roman"/>
          <w:sz w:val="28"/>
          <w:szCs w:val="28"/>
        </w:rPr>
        <w:t xml:space="preserve"> c.c.</w:t>
      </w:r>
      <w:r>
        <w:rPr>
          <w:rFonts w:ascii="Times New Roman" w:hAnsi="Times New Roman" w:cs="Times New Roman"/>
          <w:sz w:val="28"/>
          <w:szCs w:val="28"/>
        </w:rPr>
        <w:t xml:space="preserve"> </w:t>
      </w:r>
      <w:r w:rsidRPr="00E95C69">
        <w:rPr>
          <w:rFonts w:ascii="Times New Roman" w:hAnsi="Times New Roman" w:cs="Times New Roman"/>
          <w:sz w:val="28"/>
          <w:szCs w:val="28"/>
          <w:highlight w:val="yellow"/>
        </w:rPr>
        <w:t>Con l’introduzione di queste norme, ad opera della legge n. 69/2009, si è voluto stabilire che la trascrizione ha una durata limitata nel tempo</w:t>
      </w:r>
      <w:r w:rsidR="00652DA7" w:rsidRPr="00E95C69">
        <w:rPr>
          <w:rFonts w:ascii="Times New Roman" w:hAnsi="Times New Roman" w:cs="Times New Roman"/>
          <w:sz w:val="28"/>
          <w:szCs w:val="28"/>
          <w:highlight w:val="yellow"/>
        </w:rPr>
        <w:t xml:space="preserve"> se ha ad oggetto atti come il pignoramento che determinano l’inizio del processo esecutivo, o di cognizione (domanda giudiziale) o che presuppongono la pendenza del processo medesimo (sequestro conservativo) </w:t>
      </w:r>
      <w:r w:rsidR="00646D63">
        <w:rPr>
          <w:rFonts w:ascii="Times New Roman" w:hAnsi="Times New Roman" w:cs="Times New Roman"/>
          <w:sz w:val="28"/>
          <w:szCs w:val="28"/>
          <w:highlight w:val="yellow"/>
        </w:rPr>
        <w:t>e,</w:t>
      </w:r>
      <w:r w:rsidR="00652DA7" w:rsidRPr="00E95C69">
        <w:rPr>
          <w:rFonts w:ascii="Times New Roman" w:hAnsi="Times New Roman" w:cs="Times New Roman"/>
          <w:sz w:val="28"/>
          <w:szCs w:val="28"/>
          <w:highlight w:val="yellow"/>
        </w:rPr>
        <w:t xml:space="preserve"> essendo strettamente collegata alla pendenza del processo, risulta funzionale all’utile conclusione dello stesso. </w:t>
      </w:r>
      <w:r w:rsidR="00E95C69" w:rsidRPr="00E95C69">
        <w:rPr>
          <w:rFonts w:ascii="Times New Roman" w:hAnsi="Times New Roman" w:cs="Times New Roman"/>
          <w:sz w:val="28"/>
          <w:szCs w:val="28"/>
          <w:highlight w:val="yellow"/>
        </w:rPr>
        <w:t>In altre parole, è</w:t>
      </w:r>
      <w:r w:rsidR="00652DA7" w:rsidRPr="00E95C69">
        <w:rPr>
          <w:rFonts w:ascii="Times New Roman" w:hAnsi="Times New Roman" w:cs="Times New Roman"/>
          <w:sz w:val="28"/>
          <w:szCs w:val="28"/>
          <w:highlight w:val="yellow"/>
        </w:rPr>
        <w:t xml:space="preserve"> parso legittimo rimettere all’iniziativa di quanti ne abbiano interesse l’eventuale rinnovazione </w:t>
      </w:r>
      <w:r w:rsidR="00E95C69" w:rsidRPr="00E95C69">
        <w:rPr>
          <w:rFonts w:ascii="Times New Roman" w:hAnsi="Times New Roman" w:cs="Times New Roman"/>
          <w:sz w:val="28"/>
          <w:szCs w:val="28"/>
          <w:highlight w:val="yellow"/>
        </w:rPr>
        <w:t xml:space="preserve">della trascrizione alla scadenza del ventennio e ricollegare, invece, all’inerzia dei soggetti legittimati l’inefficacia </w:t>
      </w:r>
      <w:r w:rsidR="00E95C69" w:rsidRPr="00E95C69">
        <w:rPr>
          <w:rFonts w:ascii="Times New Roman" w:hAnsi="Times New Roman" w:cs="Times New Roman"/>
          <w:i/>
          <w:sz w:val="28"/>
          <w:szCs w:val="28"/>
          <w:highlight w:val="yellow"/>
        </w:rPr>
        <w:t>ipso iure</w:t>
      </w:r>
      <w:r w:rsidR="00E95C69" w:rsidRPr="00E95C69">
        <w:rPr>
          <w:rFonts w:ascii="Times New Roman" w:hAnsi="Times New Roman" w:cs="Times New Roman"/>
          <w:sz w:val="28"/>
          <w:szCs w:val="28"/>
          <w:highlight w:val="yellow"/>
        </w:rPr>
        <w:t xml:space="preserve"> del gravame</w:t>
      </w:r>
      <w:r w:rsidR="00E95C69" w:rsidRPr="000F7C4E">
        <w:rPr>
          <w:rFonts w:ascii="Times New Roman" w:hAnsi="Times New Roman" w:cs="Times New Roman"/>
          <w:sz w:val="28"/>
          <w:szCs w:val="28"/>
          <w:highlight w:val="yellow"/>
        </w:rPr>
        <w:t>.</w:t>
      </w:r>
      <w:r w:rsidR="00B259BE" w:rsidRPr="000F7C4E">
        <w:rPr>
          <w:rFonts w:ascii="Times New Roman" w:hAnsi="Times New Roman" w:cs="Times New Roman"/>
          <w:sz w:val="28"/>
          <w:szCs w:val="28"/>
          <w:highlight w:val="yellow"/>
        </w:rPr>
        <w:t xml:space="preserve"> La posizione degli interessati che, non attivandosi, abbiano manifestato disinteresse alla conservazione degli effetti utili della trascrizione</w:t>
      </w:r>
      <w:r w:rsidR="000F7C4E" w:rsidRPr="000F7C4E">
        <w:rPr>
          <w:rFonts w:ascii="Times New Roman" w:hAnsi="Times New Roman" w:cs="Times New Roman"/>
          <w:sz w:val="28"/>
          <w:szCs w:val="28"/>
          <w:highlight w:val="yellow"/>
        </w:rPr>
        <w:t xml:space="preserve"> è recessiva rispetto all’esigenza di garantire che l’indagine compiuta dai terzi sui registri immobiliari risulti agevole e sicura</w:t>
      </w:r>
      <w:r w:rsidR="000F7C4E" w:rsidRPr="00607C7A">
        <w:rPr>
          <w:rFonts w:ascii="Times New Roman" w:hAnsi="Times New Roman" w:cs="Times New Roman"/>
          <w:sz w:val="28"/>
          <w:szCs w:val="28"/>
          <w:highlight w:val="yellow"/>
        </w:rPr>
        <w:t xml:space="preserve">. Il ventennio che nel nostro ordinamento configura il lasso temporale giuridicamente rilevante per la perenzione delle ipoteche e per l’usucapione ordinaria, costituisce il parametro per valutare la diligenza notarile nelle ispezioni </w:t>
      </w:r>
      <w:r w:rsidR="004078FD" w:rsidRPr="00607C7A">
        <w:rPr>
          <w:rFonts w:ascii="Times New Roman" w:hAnsi="Times New Roman" w:cs="Times New Roman"/>
          <w:sz w:val="28"/>
          <w:szCs w:val="28"/>
          <w:highlight w:val="yellow"/>
        </w:rPr>
        <w:t>dei registri immobiliari, ritenendosi appunto che il notaio sia tenuto a consultare tutte le trascrizioni e iscrizioni entro il ventennio. Pertanto, circoscrivendo l’efficacia delle trascrizioni relative al pignoramento (al sequestro conservativo e alle domande giudiziali) nel ventennio, si è inteso realizzare un sistema affidabile che garantisca i terzi</w:t>
      </w:r>
      <w:r w:rsidR="000F7C4E" w:rsidRPr="00607C7A">
        <w:rPr>
          <w:rFonts w:ascii="Times New Roman" w:hAnsi="Times New Roman" w:cs="Times New Roman"/>
          <w:sz w:val="28"/>
          <w:szCs w:val="28"/>
          <w:highlight w:val="yellow"/>
        </w:rPr>
        <w:t xml:space="preserve"> </w:t>
      </w:r>
      <w:r w:rsidR="00607C7A" w:rsidRPr="00607C7A">
        <w:rPr>
          <w:rFonts w:ascii="Times New Roman" w:hAnsi="Times New Roman" w:cs="Times New Roman"/>
          <w:sz w:val="28"/>
          <w:szCs w:val="28"/>
          <w:highlight w:val="yellow"/>
        </w:rPr>
        <w:t>che abbiano necessità di consultare i registri immobiliari.</w:t>
      </w:r>
    </w:p>
    <w:p w:rsidR="00D20EFC" w:rsidRDefault="00607C7A" w:rsidP="00D20EFC">
      <w:pPr>
        <w:spacing w:after="0" w:line="240" w:lineRule="auto"/>
        <w:jc w:val="both"/>
        <w:rPr>
          <w:rFonts w:ascii="Times New Roman" w:hAnsi="Times New Roman" w:cs="Times New Roman"/>
          <w:sz w:val="28"/>
          <w:szCs w:val="28"/>
        </w:rPr>
      </w:pPr>
      <w:r w:rsidRPr="00B8655C">
        <w:rPr>
          <w:rFonts w:ascii="Times New Roman" w:hAnsi="Times New Roman" w:cs="Times New Roman"/>
          <w:sz w:val="28"/>
          <w:szCs w:val="28"/>
          <w:highlight w:val="yellow"/>
        </w:rPr>
        <w:t>Rimane, peraltro, da stabilire quali conseguenze produca la mancata tempestiva rinnovazione della trascrizione del pignoramento quando essa non abbia esaurito la sua funzione, cioè risulti ancora in corso il processo esecutivo avviato in virtù del pignoramento trascritto.</w:t>
      </w:r>
      <w:r w:rsidR="00B8655C" w:rsidRPr="00B8655C">
        <w:rPr>
          <w:rFonts w:ascii="Times New Roman" w:hAnsi="Times New Roman" w:cs="Times New Roman"/>
          <w:sz w:val="28"/>
          <w:szCs w:val="28"/>
          <w:highlight w:val="yellow"/>
        </w:rPr>
        <w:t xml:space="preserve"> Il tema che risulta, dunque, essere quello della sopravvenuta </w:t>
      </w:r>
      <w:r w:rsidR="00B8655C" w:rsidRPr="00B8655C">
        <w:rPr>
          <w:rFonts w:ascii="Times New Roman" w:hAnsi="Times New Roman" w:cs="Times New Roman"/>
          <w:b/>
          <w:sz w:val="28"/>
          <w:szCs w:val="28"/>
          <w:highlight w:val="yellow"/>
        </w:rPr>
        <w:t>inefficacia della trascrizione</w:t>
      </w:r>
      <w:r w:rsidR="00B8655C" w:rsidRPr="00B8655C">
        <w:rPr>
          <w:rFonts w:ascii="Times New Roman" w:hAnsi="Times New Roman" w:cs="Times New Roman"/>
          <w:sz w:val="28"/>
          <w:szCs w:val="28"/>
          <w:highlight w:val="yellow"/>
        </w:rPr>
        <w:t xml:space="preserve"> del pignoramento, ha comportato molti contrasti interpretativi ancora una volta collegati al diverso modo di intendere il perfezionamento del pignoramento immobiliare</w:t>
      </w:r>
      <w:r w:rsidR="00B8655C" w:rsidRPr="009D4DBF">
        <w:rPr>
          <w:rFonts w:ascii="Times New Roman" w:hAnsi="Times New Roman" w:cs="Times New Roman"/>
          <w:sz w:val="28"/>
          <w:szCs w:val="28"/>
          <w:highlight w:val="yellow"/>
        </w:rPr>
        <w:t xml:space="preserve">. </w:t>
      </w:r>
      <w:r w:rsidR="00A1457A" w:rsidRPr="009D4DBF">
        <w:rPr>
          <w:rFonts w:ascii="Times New Roman" w:hAnsi="Times New Roman" w:cs="Times New Roman"/>
          <w:sz w:val="28"/>
          <w:szCs w:val="28"/>
          <w:highlight w:val="yellow"/>
        </w:rPr>
        <w:t xml:space="preserve">Per chi ritiene che </w:t>
      </w:r>
      <w:r w:rsidR="00646D63">
        <w:rPr>
          <w:rFonts w:ascii="Times New Roman" w:hAnsi="Times New Roman" w:cs="Times New Roman"/>
          <w:sz w:val="28"/>
          <w:szCs w:val="28"/>
          <w:highlight w:val="yellow"/>
        </w:rPr>
        <w:t>il pignoramento si perfezioni</w:t>
      </w:r>
      <w:r w:rsidR="00D52EFC" w:rsidRPr="009D4DBF">
        <w:rPr>
          <w:rFonts w:ascii="Times New Roman" w:hAnsi="Times New Roman" w:cs="Times New Roman"/>
          <w:sz w:val="28"/>
          <w:szCs w:val="28"/>
          <w:highlight w:val="yellow"/>
        </w:rPr>
        <w:t xml:space="preserve"> con la notificazione al </w:t>
      </w:r>
      <w:r w:rsidR="00646D63">
        <w:rPr>
          <w:rFonts w:ascii="Times New Roman" w:hAnsi="Times New Roman" w:cs="Times New Roman"/>
          <w:sz w:val="28"/>
          <w:szCs w:val="28"/>
          <w:highlight w:val="yellow"/>
        </w:rPr>
        <w:t>debitore e la trascrizione operi</w:t>
      </w:r>
      <w:r w:rsidR="00D52EFC" w:rsidRPr="009D4DBF">
        <w:rPr>
          <w:rFonts w:ascii="Times New Roman" w:hAnsi="Times New Roman" w:cs="Times New Roman"/>
          <w:sz w:val="28"/>
          <w:szCs w:val="28"/>
          <w:highlight w:val="yellow"/>
        </w:rPr>
        <w:t xml:space="preserve"> solo come elemento integrativo dell’efficacia la “scadenza” della trascrizione non potrebbe determinare la chiusura anticipata del processo. Secondo questa impostazione, anche nel caso in cui non vi sia stata tempestiva rinnovazione nel ventennio, la successiva reiterazione della trascrizione, in astratto possibile perché estranea al pignoramento già in s</w:t>
      </w:r>
      <w:r w:rsidR="00F417AC" w:rsidRPr="009D4DBF">
        <w:rPr>
          <w:rFonts w:ascii="Times New Roman" w:hAnsi="Times New Roman" w:cs="Times New Roman"/>
          <w:sz w:val="28"/>
          <w:szCs w:val="28"/>
          <w:highlight w:val="yellow"/>
        </w:rPr>
        <w:t>é</w:t>
      </w:r>
      <w:r w:rsidR="00D52EFC" w:rsidRPr="009D4DBF">
        <w:rPr>
          <w:rFonts w:ascii="Times New Roman" w:hAnsi="Times New Roman" w:cs="Times New Roman"/>
          <w:sz w:val="28"/>
          <w:szCs w:val="28"/>
          <w:highlight w:val="yellow"/>
        </w:rPr>
        <w:t xml:space="preserve"> perfetto, </w:t>
      </w:r>
      <w:r w:rsidR="00F417AC" w:rsidRPr="009D4DBF">
        <w:rPr>
          <w:rFonts w:ascii="Times New Roman" w:hAnsi="Times New Roman" w:cs="Times New Roman"/>
          <w:sz w:val="28"/>
          <w:szCs w:val="28"/>
          <w:highlight w:val="yellow"/>
        </w:rPr>
        <w:t xml:space="preserve">consentirebbe il compimento di ulteriori atti esecutivi, sempreché il debitore non abbia disposto del bene pignorato. Per chi, al contrario, ritiene che il pignoramento sia una </w:t>
      </w:r>
      <w:r w:rsidR="00F417AC" w:rsidRPr="009D4DBF">
        <w:rPr>
          <w:rFonts w:ascii="Times New Roman" w:hAnsi="Times New Roman" w:cs="Times New Roman"/>
          <w:sz w:val="28"/>
          <w:szCs w:val="28"/>
          <w:highlight w:val="yellow"/>
        </w:rPr>
        <w:lastRenderedPageBreak/>
        <w:t>fattispecie a formazione progressiva che si perfeziona con la trascrizione,</w:t>
      </w:r>
      <w:r w:rsidRPr="009D4DBF">
        <w:rPr>
          <w:rFonts w:ascii="Times New Roman" w:hAnsi="Times New Roman" w:cs="Times New Roman"/>
          <w:sz w:val="28"/>
          <w:szCs w:val="28"/>
          <w:highlight w:val="yellow"/>
        </w:rPr>
        <w:t xml:space="preserve"> </w:t>
      </w:r>
      <w:r w:rsidR="00F417AC" w:rsidRPr="009D4DBF">
        <w:rPr>
          <w:rFonts w:ascii="Times New Roman" w:hAnsi="Times New Roman" w:cs="Times New Roman"/>
          <w:sz w:val="28"/>
          <w:szCs w:val="28"/>
          <w:highlight w:val="yellow"/>
        </w:rPr>
        <w:t>la scadenza del termine di efficacia di quest’ultima, determinerebbe il venir meno del pignoramento imponendo la chiusura anticipata del processo senza che una successiva reiterazione possa mantenere in vita una procedura esecutiva ormai chiusa.</w:t>
      </w:r>
      <w:r w:rsidRPr="009D4DBF">
        <w:rPr>
          <w:rFonts w:ascii="Times New Roman" w:hAnsi="Times New Roman" w:cs="Times New Roman"/>
          <w:sz w:val="28"/>
          <w:szCs w:val="28"/>
          <w:highlight w:val="yellow"/>
        </w:rPr>
        <w:t xml:space="preserve"> </w:t>
      </w:r>
      <w:r w:rsidR="009D4DBF" w:rsidRPr="009D4DBF">
        <w:rPr>
          <w:rFonts w:ascii="Times New Roman" w:hAnsi="Times New Roman" w:cs="Times New Roman"/>
          <w:sz w:val="28"/>
          <w:szCs w:val="28"/>
          <w:highlight w:val="yellow"/>
        </w:rPr>
        <w:t>Seguendo questa tesi, i</w:t>
      </w:r>
      <w:r w:rsidR="00F417AC" w:rsidRPr="009D4DBF">
        <w:rPr>
          <w:rFonts w:ascii="Times New Roman" w:hAnsi="Times New Roman" w:cs="Times New Roman"/>
          <w:sz w:val="28"/>
          <w:szCs w:val="28"/>
          <w:highlight w:val="yellow"/>
        </w:rPr>
        <w:t xml:space="preserve">l </w:t>
      </w:r>
      <w:proofErr w:type="spellStart"/>
      <w:r w:rsidR="00F417AC" w:rsidRPr="009D4DBF">
        <w:rPr>
          <w:rFonts w:ascii="Times New Roman" w:hAnsi="Times New Roman" w:cs="Times New Roman"/>
          <w:sz w:val="28"/>
          <w:szCs w:val="28"/>
          <w:highlight w:val="yellow"/>
        </w:rPr>
        <w:t>g.e</w:t>
      </w:r>
      <w:proofErr w:type="spellEnd"/>
      <w:r w:rsidR="00F417AC" w:rsidRPr="009D4DBF">
        <w:rPr>
          <w:rFonts w:ascii="Times New Roman" w:hAnsi="Times New Roman" w:cs="Times New Roman"/>
          <w:sz w:val="28"/>
          <w:szCs w:val="28"/>
          <w:highlight w:val="yellow"/>
        </w:rPr>
        <w:t xml:space="preserve">. </w:t>
      </w:r>
      <w:r w:rsidR="009D4DBF" w:rsidRPr="009D4DBF">
        <w:rPr>
          <w:rFonts w:ascii="Times New Roman" w:hAnsi="Times New Roman" w:cs="Times New Roman"/>
          <w:sz w:val="28"/>
          <w:szCs w:val="28"/>
          <w:highlight w:val="yellow"/>
        </w:rPr>
        <w:t>quando rileva la sopravvenuta inefficacia della trascrizione del pignoramento deve prendere atto che tale inefficacia impedisce il compimento di qualsiasi atto esecutivo (persino il decreto di trasferimento, quando il bene sia stato nel frattempo aggiudicato) e deve dichiarare l’estinzione del processo esecutivo in corso.</w:t>
      </w:r>
      <w:r w:rsidR="009D4DBF">
        <w:rPr>
          <w:rFonts w:ascii="Times New Roman" w:hAnsi="Times New Roman" w:cs="Times New Roman"/>
          <w:sz w:val="28"/>
          <w:szCs w:val="28"/>
        </w:rPr>
        <w:t xml:space="preserve"> </w:t>
      </w:r>
    </w:p>
    <w:p w:rsidR="00D20EFC" w:rsidRPr="002953E4" w:rsidRDefault="00D20EFC" w:rsidP="00996EF8">
      <w:pPr>
        <w:spacing w:after="0" w:line="240" w:lineRule="auto"/>
        <w:jc w:val="both"/>
        <w:rPr>
          <w:rFonts w:ascii="Times New Roman" w:hAnsi="Times New Roman" w:cs="Times New Roman"/>
          <w:sz w:val="28"/>
          <w:szCs w:val="28"/>
        </w:rPr>
      </w:pPr>
    </w:p>
    <w:p w:rsidR="002953E4" w:rsidRPr="00AD58C1" w:rsidRDefault="002953E4" w:rsidP="00996EF8">
      <w:pPr>
        <w:spacing w:after="0" w:line="240" w:lineRule="auto"/>
        <w:jc w:val="both"/>
        <w:rPr>
          <w:rFonts w:ascii="Times New Roman" w:hAnsi="Times New Roman" w:cs="Times New Roman"/>
          <w:sz w:val="28"/>
          <w:szCs w:val="28"/>
        </w:rPr>
      </w:pPr>
    </w:p>
    <w:p w:rsidR="00AA1158" w:rsidRDefault="00AA1158" w:rsidP="00996EF8">
      <w:pPr>
        <w:spacing w:after="0" w:line="240" w:lineRule="auto"/>
        <w:jc w:val="both"/>
        <w:rPr>
          <w:rFonts w:ascii="Times New Roman" w:hAnsi="Times New Roman" w:cs="Times New Roman"/>
          <w:sz w:val="28"/>
          <w:szCs w:val="28"/>
        </w:rPr>
      </w:pPr>
    </w:p>
    <w:p w:rsidR="002B424B" w:rsidRPr="002B424B" w:rsidRDefault="002B424B" w:rsidP="00996EF8">
      <w:pPr>
        <w:spacing w:after="0" w:line="240" w:lineRule="auto"/>
        <w:jc w:val="both"/>
        <w:rPr>
          <w:rFonts w:ascii="Times New Roman" w:hAnsi="Times New Roman" w:cs="Times New Roman"/>
          <w:sz w:val="28"/>
          <w:szCs w:val="28"/>
        </w:rPr>
      </w:pPr>
    </w:p>
    <w:p w:rsidR="001E646B" w:rsidRDefault="001E646B" w:rsidP="00996EF8">
      <w:pPr>
        <w:spacing w:after="0" w:line="240" w:lineRule="auto"/>
        <w:jc w:val="both"/>
        <w:rPr>
          <w:rFonts w:ascii="Times New Roman" w:hAnsi="Times New Roman" w:cs="Times New Roman"/>
          <w:sz w:val="28"/>
          <w:szCs w:val="28"/>
        </w:rPr>
      </w:pPr>
    </w:p>
    <w:p w:rsidR="00996EF8" w:rsidRDefault="00996EF8" w:rsidP="00A77501">
      <w:pPr>
        <w:spacing w:after="0" w:line="240" w:lineRule="auto"/>
        <w:jc w:val="both"/>
        <w:rPr>
          <w:rFonts w:ascii="Times New Roman" w:hAnsi="Times New Roman" w:cs="Times New Roman"/>
          <w:sz w:val="28"/>
          <w:szCs w:val="28"/>
        </w:rPr>
      </w:pPr>
    </w:p>
    <w:p w:rsidR="00996EF8" w:rsidRPr="00996EF8" w:rsidRDefault="00996EF8" w:rsidP="00A77501">
      <w:pPr>
        <w:spacing w:after="0" w:line="240" w:lineRule="auto"/>
        <w:jc w:val="both"/>
        <w:rPr>
          <w:rFonts w:ascii="Times New Roman" w:hAnsi="Times New Roman" w:cs="Times New Roman"/>
          <w:sz w:val="28"/>
          <w:szCs w:val="28"/>
        </w:rPr>
      </w:pPr>
    </w:p>
    <w:p w:rsidR="00A87EFC" w:rsidRPr="00A87EFC" w:rsidRDefault="00A87EFC" w:rsidP="00A77501">
      <w:pPr>
        <w:spacing w:after="0" w:line="240" w:lineRule="auto"/>
        <w:jc w:val="both"/>
        <w:rPr>
          <w:rFonts w:ascii="Times New Roman" w:hAnsi="Times New Roman" w:cs="Times New Roman"/>
          <w:smallCaps/>
          <w:sz w:val="28"/>
          <w:szCs w:val="28"/>
        </w:rPr>
      </w:pPr>
    </w:p>
    <w:p w:rsidR="00A87EFC" w:rsidRPr="00A87EFC" w:rsidRDefault="00A87EFC" w:rsidP="00A77501">
      <w:pPr>
        <w:spacing w:after="0" w:line="240" w:lineRule="auto"/>
        <w:jc w:val="both"/>
        <w:rPr>
          <w:rFonts w:ascii="Times New Roman" w:hAnsi="Times New Roman" w:cs="Times New Roman"/>
          <w:sz w:val="28"/>
          <w:szCs w:val="28"/>
        </w:rPr>
      </w:pPr>
    </w:p>
    <w:p w:rsidR="00A87EFC" w:rsidRPr="00A87EFC" w:rsidRDefault="00A87EFC" w:rsidP="00A77501">
      <w:pPr>
        <w:spacing w:after="0" w:line="240" w:lineRule="auto"/>
        <w:jc w:val="both"/>
        <w:rPr>
          <w:rFonts w:ascii="Times New Roman" w:hAnsi="Times New Roman" w:cs="Times New Roman"/>
          <w:sz w:val="28"/>
          <w:szCs w:val="28"/>
        </w:rPr>
      </w:pPr>
    </w:p>
    <w:p w:rsidR="000739E9" w:rsidRPr="00A77501" w:rsidRDefault="000739E9" w:rsidP="00A77501">
      <w:pPr>
        <w:spacing w:after="0" w:line="240" w:lineRule="auto"/>
        <w:jc w:val="both"/>
        <w:rPr>
          <w:rFonts w:ascii="Times New Roman" w:hAnsi="Times New Roman" w:cs="Times New Roman"/>
          <w:sz w:val="28"/>
          <w:szCs w:val="28"/>
        </w:rPr>
      </w:pPr>
    </w:p>
    <w:p w:rsidR="00A77501" w:rsidRPr="00A77501" w:rsidRDefault="00A77501" w:rsidP="00A77501">
      <w:pPr>
        <w:spacing w:after="0" w:line="240" w:lineRule="auto"/>
        <w:jc w:val="both"/>
        <w:rPr>
          <w:rFonts w:ascii="Times New Roman" w:hAnsi="Times New Roman" w:cs="Times New Roman"/>
          <w:sz w:val="28"/>
          <w:szCs w:val="28"/>
        </w:rPr>
      </w:pPr>
    </w:p>
    <w:p w:rsidR="00A77501" w:rsidRDefault="00A77501" w:rsidP="006B1643">
      <w:pPr>
        <w:spacing w:after="0" w:line="240" w:lineRule="auto"/>
        <w:jc w:val="both"/>
        <w:rPr>
          <w:rFonts w:ascii="Times New Roman" w:hAnsi="Times New Roman" w:cs="Times New Roman"/>
          <w:sz w:val="28"/>
          <w:szCs w:val="28"/>
        </w:rPr>
      </w:pPr>
    </w:p>
    <w:p w:rsidR="00A77501" w:rsidRDefault="00A77501" w:rsidP="006B1643">
      <w:pPr>
        <w:spacing w:after="0" w:line="240" w:lineRule="auto"/>
        <w:jc w:val="both"/>
        <w:rPr>
          <w:rFonts w:ascii="Times New Roman" w:hAnsi="Times New Roman" w:cs="Times New Roman"/>
          <w:sz w:val="28"/>
          <w:szCs w:val="28"/>
        </w:rPr>
      </w:pPr>
    </w:p>
    <w:p w:rsidR="00032C04" w:rsidRPr="00032C04" w:rsidRDefault="00032C04" w:rsidP="00032C04">
      <w:pPr>
        <w:spacing w:after="0" w:line="240" w:lineRule="auto"/>
        <w:jc w:val="both"/>
        <w:rPr>
          <w:rFonts w:ascii="Times New Roman" w:hAnsi="Times New Roman" w:cs="Times New Roman"/>
          <w:sz w:val="28"/>
          <w:szCs w:val="28"/>
        </w:rPr>
      </w:pPr>
    </w:p>
    <w:sectPr w:rsidR="00032C04" w:rsidRPr="00032C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A39"/>
    <w:rsid w:val="00032C04"/>
    <w:rsid w:val="000739E9"/>
    <w:rsid w:val="000879B2"/>
    <w:rsid w:val="000B49D0"/>
    <w:rsid w:val="000D3EDA"/>
    <w:rsid w:val="000F7C4E"/>
    <w:rsid w:val="00150B95"/>
    <w:rsid w:val="001518F4"/>
    <w:rsid w:val="00185709"/>
    <w:rsid w:val="00192C97"/>
    <w:rsid w:val="00194379"/>
    <w:rsid w:val="001B64CE"/>
    <w:rsid w:val="001D6DAD"/>
    <w:rsid w:val="001E0B6D"/>
    <w:rsid w:val="001E56ED"/>
    <w:rsid w:val="001E646B"/>
    <w:rsid w:val="001F181E"/>
    <w:rsid w:val="00227A00"/>
    <w:rsid w:val="002523B3"/>
    <w:rsid w:val="00257735"/>
    <w:rsid w:val="002953E4"/>
    <w:rsid w:val="002B424B"/>
    <w:rsid w:val="00327CB2"/>
    <w:rsid w:val="00382EC9"/>
    <w:rsid w:val="00394B70"/>
    <w:rsid w:val="004078FD"/>
    <w:rsid w:val="00413CAC"/>
    <w:rsid w:val="004156EF"/>
    <w:rsid w:val="00426B00"/>
    <w:rsid w:val="00447470"/>
    <w:rsid w:val="00453220"/>
    <w:rsid w:val="004C48B3"/>
    <w:rsid w:val="004D51DC"/>
    <w:rsid w:val="004F6996"/>
    <w:rsid w:val="005245E3"/>
    <w:rsid w:val="00563E88"/>
    <w:rsid w:val="00583A4C"/>
    <w:rsid w:val="005951CC"/>
    <w:rsid w:val="005B1476"/>
    <w:rsid w:val="00607C7A"/>
    <w:rsid w:val="006439F1"/>
    <w:rsid w:val="00645FBF"/>
    <w:rsid w:val="00646D63"/>
    <w:rsid w:val="00652DA7"/>
    <w:rsid w:val="0065565C"/>
    <w:rsid w:val="00682633"/>
    <w:rsid w:val="0069194D"/>
    <w:rsid w:val="006A194A"/>
    <w:rsid w:val="006A753A"/>
    <w:rsid w:val="006B1643"/>
    <w:rsid w:val="006E2549"/>
    <w:rsid w:val="007379F2"/>
    <w:rsid w:val="007622D3"/>
    <w:rsid w:val="007B45CE"/>
    <w:rsid w:val="007F70D2"/>
    <w:rsid w:val="00887F92"/>
    <w:rsid w:val="00890794"/>
    <w:rsid w:val="008A257F"/>
    <w:rsid w:val="0097394E"/>
    <w:rsid w:val="00996EF8"/>
    <w:rsid w:val="009D1AC9"/>
    <w:rsid w:val="009D4DBF"/>
    <w:rsid w:val="00A01142"/>
    <w:rsid w:val="00A02D89"/>
    <w:rsid w:val="00A1457A"/>
    <w:rsid w:val="00A42A39"/>
    <w:rsid w:val="00A77501"/>
    <w:rsid w:val="00A87EFC"/>
    <w:rsid w:val="00AA0287"/>
    <w:rsid w:val="00AA1158"/>
    <w:rsid w:val="00AC568D"/>
    <w:rsid w:val="00AD3256"/>
    <w:rsid w:val="00AD4E17"/>
    <w:rsid w:val="00AD58C1"/>
    <w:rsid w:val="00AE6FFA"/>
    <w:rsid w:val="00B22A88"/>
    <w:rsid w:val="00B259BE"/>
    <w:rsid w:val="00B349AC"/>
    <w:rsid w:val="00B57004"/>
    <w:rsid w:val="00B60FE1"/>
    <w:rsid w:val="00B66547"/>
    <w:rsid w:val="00B82F5F"/>
    <w:rsid w:val="00B8655C"/>
    <w:rsid w:val="00BE22D0"/>
    <w:rsid w:val="00C66B2A"/>
    <w:rsid w:val="00C94991"/>
    <w:rsid w:val="00CC0533"/>
    <w:rsid w:val="00CC1D0D"/>
    <w:rsid w:val="00CE15FD"/>
    <w:rsid w:val="00D20EFC"/>
    <w:rsid w:val="00D23869"/>
    <w:rsid w:val="00D303EB"/>
    <w:rsid w:val="00D41E45"/>
    <w:rsid w:val="00D52EFC"/>
    <w:rsid w:val="00D97C22"/>
    <w:rsid w:val="00DF23B0"/>
    <w:rsid w:val="00E17284"/>
    <w:rsid w:val="00E95C69"/>
    <w:rsid w:val="00EA18D7"/>
    <w:rsid w:val="00EA6944"/>
    <w:rsid w:val="00EC1501"/>
    <w:rsid w:val="00F16BC1"/>
    <w:rsid w:val="00F27F03"/>
    <w:rsid w:val="00F417AC"/>
    <w:rsid w:val="00F775C1"/>
    <w:rsid w:val="00F85283"/>
    <w:rsid w:val="00FF0C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C031"/>
  <w15:docId w15:val="{66B1C241-B3C3-4CF3-94E0-1DFB8C3B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5245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94B70"/>
    <w:rPr>
      <w:color w:val="0000FF" w:themeColor="hyperlink"/>
      <w:u w:val="single"/>
    </w:rPr>
  </w:style>
  <w:style w:type="character" w:customStyle="1" w:styleId="Titolo1Carattere">
    <w:name w:val="Titolo 1 Carattere"/>
    <w:basedOn w:val="Carpredefinitoparagrafo"/>
    <w:link w:val="Titolo1"/>
    <w:uiPriority w:val="9"/>
    <w:rsid w:val="005245E3"/>
    <w:rPr>
      <w:rFonts w:asciiTheme="majorHAnsi" w:eastAsiaTheme="majorEastAsia" w:hAnsiTheme="majorHAnsi" w:cstheme="majorBidi"/>
      <w:color w:val="365F91" w:themeColor="accent1" w:themeShade="BF"/>
      <w:sz w:val="32"/>
      <w:szCs w:val="32"/>
    </w:rPr>
  </w:style>
  <w:style w:type="paragraph" w:styleId="Corpotesto">
    <w:name w:val="Body Text"/>
    <w:basedOn w:val="Normale"/>
    <w:link w:val="CorpotestoCarattere"/>
    <w:uiPriority w:val="99"/>
    <w:unhideWhenUsed/>
    <w:rsid w:val="005245E3"/>
    <w:pPr>
      <w:spacing w:after="120"/>
    </w:pPr>
  </w:style>
  <w:style w:type="character" w:customStyle="1" w:styleId="CorpotestoCarattere">
    <w:name w:val="Corpo testo Carattere"/>
    <w:basedOn w:val="Carpredefinitoparagrafo"/>
    <w:link w:val="Corpotesto"/>
    <w:uiPriority w:val="99"/>
    <w:rsid w:val="00524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687611">
      <w:bodyDiv w:val="1"/>
      <w:marLeft w:val="0"/>
      <w:marRight w:val="0"/>
      <w:marTop w:val="0"/>
      <w:marBottom w:val="0"/>
      <w:divBdr>
        <w:top w:val="none" w:sz="0" w:space="0" w:color="auto"/>
        <w:left w:val="none" w:sz="0" w:space="0" w:color="auto"/>
        <w:bottom w:val="none" w:sz="0" w:space="0" w:color="auto"/>
        <w:right w:val="none" w:sz="0" w:space="0" w:color="auto"/>
      </w:divBdr>
    </w:div>
    <w:div w:id="1341734964">
      <w:bodyDiv w:val="1"/>
      <w:marLeft w:val="0"/>
      <w:marRight w:val="0"/>
      <w:marTop w:val="0"/>
      <w:marBottom w:val="0"/>
      <w:divBdr>
        <w:top w:val="none" w:sz="0" w:space="0" w:color="auto"/>
        <w:left w:val="none" w:sz="0" w:space="0" w:color="auto"/>
        <w:bottom w:val="none" w:sz="0" w:space="0" w:color="auto"/>
        <w:right w:val="none" w:sz="0" w:space="0" w:color="auto"/>
      </w:divBdr>
    </w:div>
    <w:div w:id="1540315617">
      <w:bodyDiv w:val="1"/>
      <w:marLeft w:val="0"/>
      <w:marRight w:val="0"/>
      <w:marTop w:val="0"/>
      <w:marBottom w:val="0"/>
      <w:divBdr>
        <w:top w:val="none" w:sz="0" w:space="0" w:color="auto"/>
        <w:left w:val="none" w:sz="0" w:space="0" w:color="auto"/>
        <w:bottom w:val="none" w:sz="0" w:space="0" w:color="auto"/>
        <w:right w:val="none" w:sz="0" w:space="0" w:color="auto"/>
      </w:divBdr>
    </w:div>
    <w:div w:id="19059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Pages>
  <Words>1196</Words>
  <Characters>6820</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22</cp:revision>
  <dcterms:created xsi:type="dcterms:W3CDTF">2020-06-26T21:30:00Z</dcterms:created>
  <dcterms:modified xsi:type="dcterms:W3CDTF">2023-04-18T18:37:00Z</dcterms:modified>
</cp:coreProperties>
</file>