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1AB9" w:rsidRPr="00610595" w:rsidRDefault="002D1AB9" w:rsidP="002D1AB9">
      <w:pPr>
        <w:pStyle w:val="CHISA"/>
        <w:jc w:val="center"/>
        <w:rPr>
          <w:rFonts w:ascii="Times New Roman" w:hAnsi="Times New Roman" w:cs="Times New Roman"/>
          <w:caps/>
          <w:color w:val="000000"/>
          <w:sz w:val="28"/>
        </w:rPr>
      </w:pPr>
      <w:r w:rsidRPr="00610595">
        <w:rPr>
          <w:rFonts w:ascii="Times New Roman" w:hAnsi="Times New Roman" w:cs="Times New Roman"/>
          <w:b/>
          <w:caps/>
          <w:color w:val="000000"/>
          <w:sz w:val="28"/>
        </w:rPr>
        <w:t>An Efficient Synthetic Strategy for the Functionalization of 9-Ribosyl Purine (Nebularine)</w:t>
      </w:r>
    </w:p>
    <w:p w:rsidR="002D1AB9" w:rsidRPr="00BE54FA" w:rsidRDefault="002D1AB9" w:rsidP="002D1AB9">
      <w:pPr>
        <w:autoSpaceDE w:val="0"/>
        <w:autoSpaceDN w:val="0"/>
        <w:adjustRightInd w:val="0"/>
        <w:spacing w:line="280" w:lineRule="exact"/>
        <w:jc w:val="center"/>
        <w:rPr>
          <w:i/>
          <w:iCs/>
          <w:sz w:val="14"/>
          <w:szCs w:val="14"/>
          <w:lang w:val="en-US"/>
        </w:rPr>
      </w:pPr>
    </w:p>
    <w:p w:rsidR="002D1AB9" w:rsidRPr="00BE54FA" w:rsidRDefault="002D1AB9" w:rsidP="002D1AB9">
      <w:pPr>
        <w:autoSpaceDE w:val="0"/>
        <w:autoSpaceDN w:val="0"/>
        <w:adjustRightInd w:val="0"/>
        <w:spacing w:line="280" w:lineRule="exact"/>
        <w:jc w:val="center"/>
        <w:rPr>
          <w:i/>
          <w:iCs/>
          <w:sz w:val="14"/>
          <w:szCs w:val="14"/>
          <w:lang w:val="en-US"/>
        </w:rPr>
      </w:pPr>
    </w:p>
    <w:p w:rsidR="002D1AB9" w:rsidRPr="00610595" w:rsidRDefault="002D1AB9" w:rsidP="002D1AB9">
      <w:pPr>
        <w:autoSpaceDE w:val="0"/>
        <w:autoSpaceDN w:val="0"/>
        <w:adjustRightInd w:val="0"/>
        <w:spacing w:line="280" w:lineRule="exact"/>
        <w:jc w:val="center"/>
        <w:rPr>
          <w:i/>
          <w:iCs/>
          <w:vertAlign w:val="superscript"/>
        </w:rPr>
      </w:pPr>
      <w:r w:rsidRPr="00F57B29">
        <w:rPr>
          <w:i/>
          <w:iCs/>
          <w:u w:val="single"/>
        </w:rPr>
        <w:t xml:space="preserve">S. </w:t>
      </w:r>
      <w:proofErr w:type="gramStart"/>
      <w:r w:rsidRPr="00F57B29">
        <w:rPr>
          <w:i/>
          <w:iCs/>
          <w:u w:val="single"/>
        </w:rPr>
        <w:t>D’</w:t>
      </w:r>
      <w:proofErr w:type="spellStart"/>
      <w:r w:rsidRPr="00F57B29">
        <w:rPr>
          <w:i/>
          <w:iCs/>
          <w:u w:val="single"/>
        </w:rPr>
        <w:t>Errico</w:t>
      </w:r>
      <w:r w:rsidRPr="00610595">
        <w:rPr>
          <w:i/>
          <w:iCs/>
        </w:rPr>
        <w:t>,</w:t>
      </w:r>
      <w:r>
        <w:rPr>
          <w:i/>
          <w:iCs/>
          <w:vertAlign w:val="superscript"/>
        </w:rPr>
        <w:t>a</w:t>
      </w:r>
      <w:proofErr w:type="gramEnd"/>
      <w:r>
        <w:rPr>
          <w:i/>
          <w:iCs/>
          <w:vertAlign w:val="superscript"/>
        </w:rPr>
        <w:t>,b</w:t>
      </w:r>
      <w:proofErr w:type="spellEnd"/>
      <w:r w:rsidRPr="00610595">
        <w:rPr>
          <w:i/>
          <w:iCs/>
        </w:rPr>
        <w:t xml:space="preserve"> G. </w:t>
      </w:r>
      <w:proofErr w:type="spellStart"/>
      <w:r w:rsidRPr="00610595">
        <w:rPr>
          <w:i/>
          <w:iCs/>
        </w:rPr>
        <w:t>Oliviero,</w:t>
      </w:r>
      <w:r>
        <w:rPr>
          <w:i/>
          <w:iCs/>
          <w:vertAlign w:val="superscript"/>
        </w:rPr>
        <w:t>c</w:t>
      </w:r>
      <w:proofErr w:type="spellEnd"/>
      <w:r w:rsidRPr="00610595">
        <w:rPr>
          <w:i/>
          <w:iCs/>
        </w:rPr>
        <w:t xml:space="preserve"> N. </w:t>
      </w:r>
      <w:proofErr w:type="spellStart"/>
      <w:r>
        <w:rPr>
          <w:i/>
          <w:iCs/>
        </w:rPr>
        <w:t>Borbone,</w:t>
      </w:r>
      <w:r>
        <w:rPr>
          <w:i/>
          <w:iCs/>
          <w:vertAlign w:val="superscript"/>
        </w:rPr>
        <w:t>b</w:t>
      </w:r>
      <w:proofErr w:type="spellEnd"/>
      <w:r>
        <w:rPr>
          <w:i/>
          <w:iCs/>
        </w:rPr>
        <w:t xml:space="preserve"> G. </w:t>
      </w:r>
      <w:proofErr w:type="spellStart"/>
      <w:r>
        <w:rPr>
          <w:i/>
          <w:iCs/>
        </w:rPr>
        <w:t>Piccialli</w:t>
      </w:r>
      <w:r>
        <w:rPr>
          <w:i/>
          <w:iCs/>
          <w:vertAlign w:val="superscript"/>
        </w:rPr>
        <w:t>a,b</w:t>
      </w:r>
      <w:proofErr w:type="spellEnd"/>
    </w:p>
    <w:p w:rsidR="002D1AB9" w:rsidRPr="00816C9D" w:rsidRDefault="002D1AB9" w:rsidP="002D1AB9">
      <w:pPr>
        <w:autoSpaceDE w:val="0"/>
        <w:autoSpaceDN w:val="0"/>
        <w:adjustRightInd w:val="0"/>
        <w:spacing w:line="280" w:lineRule="exact"/>
        <w:jc w:val="center"/>
        <w:rPr>
          <w:i/>
          <w:iCs/>
          <w:sz w:val="14"/>
          <w:szCs w:val="14"/>
        </w:rPr>
      </w:pPr>
    </w:p>
    <w:p w:rsidR="002D1AB9" w:rsidRPr="00ED444A" w:rsidRDefault="002D1AB9" w:rsidP="002D1AB9">
      <w:pPr>
        <w:autoSpaceDE w:val="0"/>
        <w:autoSpaceDN w:val="0"/>
        <w:adjustRightInd w:val="0"/>
        <w:spacing w:line="280" w:lineRule="exact"/>
        <w:rPr>
          <w:sz w:val="20"/>
          <w:szCs w:val="20"/>
        </w:rPr>
      </w:pPr>
    </w:p>
    <w:p w:rsidR="002D1AB9" w:rsidRDefault="002D1AB9" w:rsidP="002D1AB9">
      <w:pPr>
        <w:pStyle w:val="CHISA"/>
        <w:spacing w:line="240" w:lineRule="exact"/>
        <w:jc w:val="both"/>
        <w:rPr>
          <w:rFonts w:ascii="Times New Roman" w:hAnsi="Times New Roman" w:cs="Times New Roman"/>
          <w:i/>
          <w:iCs/>
          <w:sz w:val="20"/>
          <w:szCs w:val="24"/>
          <w:lang w:val="it-IT" w:eastAsia="it-IT"/>
        </w:rPr>
      </w:pPr>
      <w:proofErr w:type="spellStart"/>
      <w:r w:rsidRPr="00610595">
        <w:rPr>
          <w:rFonts w:ascii="Times New Roman" w:hAnsi="Times New Roman" w:cs="Times New Roman"/>
          <w:i/>
          <w:iCs/>
          <w:sz w:val="20"/>
          <w:szCs w:val="24"/>
          <w:vertAlign w:val="superscript"/>
          <w:lang w:val="it-IT" w:eastAsia="it-IT"/>
        </w:rPr>
        <w:t>a</w:t>
      </w:r>
      <w:r w:rsidRPr="00610595">
        <w:rPr>
          <w:rFonts w:ascii="Times New Roman" w:hAnsi="Times New Roman" w:cs="Times New Roman"/>
          <w:i/>
          <w:iCs/>
          <w:sz w:val="20"/>
          <w:szCs w:val="24"/>
          <w:lang w:val="it-IT" w:eastAsia="it-IT"/>
        </w:rPr>
        <w:t>Centro</w:t>
      </w:r>
      <w:proofErr w:type="spellEnd"/>
      <w:r w:rsidRPr="00610595">
        <w:rPr>
          <w:rFonts w:ascii="Times New Roman" w:hAnsi="Times New Roman" w:cs="Times New Roman"/>
          <w:i/>
          <w:iCs/>
          <w:sz w:val="20"/>
          <w:szCs w:val="24"/>
          <w:lang w:val="it-IT" w:eastAsia="it-IT"/>
        </w:rPr>
        <w:t xml:space="preserve"> di Servizio di Ateneo per le Scienze e Tecnologie per la Vita (CESTEV), Università di Napoli ‘Federico II’, via T. De Amicis 95, 80145 Napoli, </w:t>
      </w:r>
      <w:proofErr w:type="spellStart"/>
      <w:r w:rsidRPr="00610595">
        <w:rPr>
          <w:rFonts w:ascii="Times New Roman" w:hAnsi="Times New Roman" w:cs="Times New Roman"/>
          <w:i/>
          <w:iCs/>
          <w:sz w:val="20"/>
          <w:szCs w:val="24"/>
          <w:lang w:val="it-IT" w:eastAsia="it-IT"/>
        </w:rPr>
        <w:t>Italy</w:t>
      </w:r>
      <w:proofErr w:type="spellEnd"/>
      <w:r w:rsidRPr="00610595">
        <w:rPr>
          <w:rFonts w:ascii="Times New Roman" w:hAnsi="Times New Roman" w:cs="Times New Roman"/>
          <w:i/>
          <w:iCs/>
          <w:sz w:val="20"/>
          <w:szCs w:val="24"/>
          <w:lang w:val="it-IT" w:eastAsia="it-IT"/>
        </w:rPr>
        <w:t xml:space="preserve"> </w:t>
      </w:r>
    </w:p>
    <w:p w:rsidR="002D1AB9" w:rsidRPr="00816C9D" w:rsidRDefault="002D1AB9" w:rsidP="002D1AB9">
      <w:pPr>
        <w:autoSpaceDE w:val="0"/>
        <w:autoSpaceDN w:val="0"/>
        <w:adjustRightInd w:val="0"/>
        <w:spacing w:line="240" w:lineRule="exact"/>
        <w:rPr>
          <w:i/>
          <w:iCs/>
          <w:sz w:val="14"/>
          <w:szCs w:val="14"/>
        </w:rPr>
      </w:pPr>
      <w:proofErr w:type="spellStart"/>
      <w:r>
        <w:rPr>
          <w:i/>
          <w:iCs/>
          <w:sz w:val="20"/>
          <w:vertAlign w:val="superscript"/>
        </w:rPr>
        <w:t>b</w:t>
      </w:r>
      <w:r w:rsidRPr="00610595">
        <w:rPr>
          <w:i/>
          <w:iCs/>
          <w:sz w:val="20"/>
        </w:rPr>
        <w:t>Dipartimento</w:t>
      </w:r>
      <w:proofErr w:type="spellEnd"/>
      <w:r w:rsidRPr="00610595">
        <w:rPr>
          <w:i/>
          <w:iCs/>
          <w:sz w:val="20"/>
        </w:rPr>
        <w:t xml:space="preserve"> di Farmacia, Università di Napoli ‘Federico II’, via D. Montesano 49, 80131 Napoli, </w:t>
      </w:r>
      <w:proofErr w:type="spellStart"/>
      <w:r w:rsidRPr="00610595">
        <w:rPr>
          <w:i/>
          <w:iCs/>
          <w:sz w:val="20"/>
        </w:rPr>
        <w:t>Italy</w:t>
      </w:r>
      <w:proofErr w:type="spellEnd"/>
      <w:r w:rsidRPr="00ED444A">
        <w:rPr>
          <w:i/>
          <w:iCs/>
          <w:sz w:val="14"/>
          <w:szCs w:val="14"/>
        </w:rPr>
        <w:t xml:space="preserve"> </w:t>
      </w:r>
      <w:proofErr w:type="spellStart"/>
      <w:r w:rsidRPr="00B638B0">
        <w:rPr>
          <w:i/>
          <w:iCs/>
          <w:sz w:val="20"/>
          <w:szCs w:val="20"/>
          <w:vertAlign w:val="superscript"/>
        </w:rPr>
        <w:t>c</w:t>
      </w:r>
      <w:r w:rsidRPr="00610595">
        <w:rPr>
          <w:i/>
          <w:iCs/>
          <w:sz w:val="20"/>
        </w:rPr>
        <w:t>Dipartimento</w:t>
      </w:r>
      <w:proofErr w:type="spellEnd"/>
      <w:r w:rsidRPr="00610595">
        <w:rPr>
          <w:i/>
          <w:iCs/>
          <w:sz w:val="20"/>
        </w:rPr>
        <w:t xml:space="preserve"> di Medicina Molecolare e Biotecnologie Mediche, Università di Napoli ‘Federico II’, via S</w:t>
      </w:r>
      <w:r>
        <w:rPr>
          <w:i/>
          <w:iCs/>
          <w:sz w:val="20"/>
        </w:rPr>
        <w:t xml:space="preserve">. </w:t>
      </w:r>
      <w:proofErr w:type="spellStart"/>
      <w:r>
        <w:rPr>
          <w:i/>
          <w:iCs/>
          <w:sz w:val="20"/>
        </w:rPr>
        <w:t>Pansini</w:t>
      </w:r>
      <w:proofErr w:type="spellEnd"/>
      <w:r>
        <w:rPr>
          <w:i/>
          <w:iCs/>
          <w:sz w:val="20"/>
        </w:rPr>
        <w:t xml:space="preserve"> 5, 80145 Napoli, </w:t>
      </w:r>
      <w:proofErr w:type="spellStart"/>
      <w:r>
        <w:rPr>
          <w:i/>
          <w:iCs/>
          <w:sz w:val="20"/>
        </w:rPr>
        <w:t>Italy</w:t>
      </w:r>
      <w:proofErr w:type="spellEnd"/>
    </w:p>
    <w:p w:rsidR="002D1AB9" w:rsidRPr="00ED444A" w:rsidRDefault="002D1AB9" w:rsidP="002D1AB9">
      <w:pPr>
        <w:autoSpaceDE w:val="0"/>
        <w:autoSpaceDN w:val="0"/>
        <w:adjustRightInd w:val="0"/>
        <w:spacing w:line="280" w:lineRule="exact"/>
        <w:rPr>
          <w:i/>
          <w:iCs/>
          <w:sz w:val="14"/>
          <w:szCs w:val="14"/>
        </w:rPr>
      </w:pPr>
    </w:p>
    <w:p w:rsidR="002D1AB9" w:rsidRPr="00ED444A" w:rsidRDefault="002D1AB9" w:rsidP="002D1AB9">
      <w:pPr>
        <w:autoSpaceDE w:val="0"/>
        <w:autoSpaceDN w:val="0"/>
        <w:adjustRightInd w:val="0"/>
        <w:spacing w:line="280" w:lineRule="exact"/>
      </w:pPr>
    </w:p>
    <w:p w:rsidR="002D1AB9" w:rsidRDefault="002D1AB9" w:rsidP="002D1AB9">
      <w:pPr>
        <w:pStyle w:val="CHISA"/>
        <w:jc w:val="both"/>
        <w:rPr>
          <w:rFonts w:ascii="Times New Roman" w:hAnsi="Times New Roman" w:cs="Times New Roman"/>
          <w:color w:val="000000"/>
          <w:sz w:val="24"/>
        </w:rPr>
      </w:pPr>
      <w:r w:rsidRPr="00E04BC7">
        <w:rPr>
          <w:rFonts w:ascii="Times New Roman" w:hAnsi="Times New Roman" w:cs="Times New Roman"/>
          <w:color w:val="000000"/>
          <w:sz w:val="24"/>
        </w:rPr>
        <w:t>In the last decades, many res</w:t>
      </w:r>
      <w:r>
        <w:rPr>
          <w:rFonts w:ascii="Times New Roman" w:hAnsi="Times New Roman" w:cs="Times New Roman"/>
          <w:color w:val="000000"/>
          <w:sz w:val="24"/>
        </w:rPr>
        <w:t xml:space="preserve">earch groups have focused their </w:t>
      </w:r>
      <w:r w:rsidRPr="00E04BC7">
        <w:rPr>
          <w:rFonts w:ascii="Times New Roman" w:hAnsi="Times New Roman" w:cs="Times New Roman"/>
          <w:color w:val="000000"/>
          <w:sz w:val="24"/>
        </w:rPr>
        <w:t>attention to the preparation of new modif</w:t>
      </w:r>
      <w:r>
        <w:rPr>
          <w:rFonts w:ascii="Times New Roman" w:hAnsi="Times New Roman" w:cs="Times New Roman"/>
          <w:color w:val="000000"/>
          <w:sz w:val="24"/>
        </w:rPr>
        <w:t xml:space="preserve">ied nucleosides and nucleotides to expand the pool of molecules with </w:t>
      </w:r>
      <w:r w:rsidRPr="00E04BC7">
        <w:rPr>
          <w:rFonts w:ascii="Times New Roman" w:hAnsi="Times New Roman" w:cs="Times New Roman"/>
          <w:color w:val="000000"/>
          <w:sz w:val="24"/>
        </w:rPr>
        <w:t>potential antineoplastic, antihyperten</w:t>
      </w:r>
      <w:r>
        <w:rPr>
          <w:rFonts w:ascii="Times New Roman" w:hAnsi="Times New Roman" w:cs="Times New Roman"/>
          <w:color w:val="000000"/>
          <w:sz w:val="24"/>
        </w:rPr>
        <w:t xml:space="preserve">sive and antiviral activities. </w:t>
      </w:r>
      <w:r w:rsidRPr="00E04BC7">
        <w:rPr>
          <w:rFonts w:ascii="Times New Roman" w:hAnsi="Times New Roman" w:cs="Times New Roman"/>
          <w:color w:val="000000"/>
          <w:sz w:val="24"/>
        </w:rPr>
        <w:t>In this context, efforts have be</w:t>
      </w:r>
      <w:r>
        <w:rPr>
          <w:rFonts w:ascii="Times New Roman" w:hAnsi="Times New Roman" w:cs="Times New Roman"/>
          <w:color w:val="000000"/>
          <w:sz w:val="24"/>
        </w:rPr>
        <w:t>en directed to the synthesis of sugar and/or base</w:t>
      </w:r>
      <w:r w:rsidRPr="00E04BC7">
        <w:rPr>
          <w:rFonts w:ascii="Times New Roman" w:hAnsi="Times New Roman" w:cs="Times New Roman"/>
          <w:color w:val="000000"/>
          <w:sz w:val="24"/>
        </w:rPr>
        <w:t>-modified</w:t>
      </w:r>
      <w:r>
        <w:rPr>
          <w:rFonts w:ascii="Times New Roman" w:hAnsi="Times New Roman" w:cs="Times New Roman"/>
          <w:color w:val="000000"/>
          <w:sz w:val="24"/>
        </w:rPr>
        <w:t xml:space="preserve"> nucleosides. Many </w:t>
      </w:r>
      <w:r w:rsidRPr="00E04BC7">
        <w:rPr>
          <w:rFonts w:ascii="Times New Roman" w:hAnsi="Times New Roman" w:cs="Times New Roman"/>
          <w:color w:val="000000"/>
          <w:sz w:val="24"/>
        </w:rPr>
        <w:t>nucleobase analogues exist and se</w:t>
      </w:r>
      <w:r>
        <w:rPr>
          <w:rFonts w:ascii="Times New Roman" w:hAnsi="Times New Roman" w:cs="Times New Roman"/>
          <w:color w:val="000000"/>
          <w:sz w:val="24"/>
        </w:rPr>
        <w:t xml:space="preserve">veral nucleoside analogues have </w:t>
      </w:r>
      <w:r w:rsidRPr="00E04BC7">
        <w:rPr>
          <w:rFonts w:ascii="Times New Roman" w:hAnsi="Times New Roman" w:cs="Times New Roman"/>
          <w:color w:val="000000"/>
          <w:sz w:val="24"/>
        </w:rPr>
        <w:t>been employed against cancer and viral dise</w:t>
      </w:r>
      <w:r>
        <w:rPr>
          <w:rFonts w:ascii="Times New Roman" w:hAnsi="Times New Roman" w:cs="Times New Roman"/>
          <w:color w:val="000000"/>
          <w:sz w:val="24"/>
        </w:rPr>
        <w:t xml:space="preserve">ases. In addition, base modified </w:t>
      </w:r>
      <w:r w:rsidRPr="00E04BC7">
        <w:rPr>
          <w:rFonts w:ascii="Times New Roman" w:hAnsi="Times New Roman" w:cs="Times New Roman"/>
          <w:color w:val="000000"/>
          <w:sz w:val="24"/>
        </w:rPr>
        <w:t>nucleosides often show f</w:t>
      </w:r>
      <w:r>
        <w:rPr>
          <w:rFonts w:ascii="Times New Roman" w:hAnsi="Times New Roman" w:cs="Times New Roman"/>
          <w:color w:val="000000"/>
          <w:sz w:val="24"/>
        </w:rPr>
        <w:t xml:space="preserve">luorescent properties, and can </w:t>
      </w:r>
      <w:r w:rsidRPr="00E04BC7">
        <w:rPr>
          <w:rFonts w:ascii="Times New Roman" w:hAnsi="Times New Roman" w:cs="Times New Roman"/>
          <w:color w:val="000000"/>
          <w:sz w:val="24"/>
        </w:rPr>
        <w:t xml:space="preserve">be used as fluorescent probes </w:t>
      </w:r>
      <w:r>
        <w:rPr>
          <w:rFonts w:ascii="Times New Roman" w:hAnsi="Times New Roman" w:cs="Times New Roman"/>
          <w:color w:val="000000"/>
          <w:sz w:val="24"/>
        </w:rPr>
        <w:t xml:space="preserve">for the analysis of DNA and RNA </w:t>
      </w:r>
      <w:r w:rsidRPr="00E04BC7">
        <w:rPr>
          <w:rFonts w:ascii="Times New Roman" w:hAnsi="Times New Roman" w:cs="Times New Roman"/>
          <w:color w:val="000000"/>
          <w:sz w:val="24"/>
        </w:rPr>
        <w:t>structures as well as for analysing</w:t>
      </w:r>
      <w:r>
        <w:rPr>
          <w:rFonts w:ascii="Times New Roman" w:hAnsi="Times New Roman" w:cs="Times New Roman"/>
          <w:color w:val="000000"/>
          <w:sz w:val="24"/>
        </w:rPr>
        <w:t xml:space="preserve"> the interaction of DNA and RNA </w:t>
      </w:r>
      <w:r w:rsidRPr="00E04BC7">
        <w:rPr>
          <w:rFonts w:ascii="Times New Roman" w:hAnsi="Times New Roman" w:cs="Times New Roman"/>
          <w:color w:val="000000"/>
          <w:sz w:val="24"/>
        </w:rPr>
        <w:t xml:space="preserve">with binding proteins. Purine bases </w:t>
      </w:r>
      <w:r>
        <w:rPr>
          <w:rFonts w:ascii="Times New Roman" w:hAnsi="Times New Roman" w:cs="Times New Roman"/>
          <w:color w:val="000000"/>
          <w:sz w:val="24"/>
        </w:rPr>
        <w:t>and nucleosides bearing a C or N-substituent at C2 and C6 positions</w:t>
      </w:r>
      <w:r w:rsidRPr="00E04BC7">
        <w:rPr>
          <w:rFonts w:ascii="Times New Roman" w:hAnsi="Times New Roman" w:cs="Times New Roman"/>
          <w:color w:val="000000"/>
          <w:sz w:val="24"/>
        </w:rPr>
        <w:t xml:space="preserve"> represent </w:t>
      </w:r>
      <w:r>
        <w:rPr>
          <w:rFonts w:ascii="Times New Roman" w:hAnsi="Times New Roman" w:cs="Times New Roman"/>
          <w:color w:val="000000"/>
          <w:sz w:val="24"/>
        </w:rPr>
        <w:t xml:space="preserve">an important class of compounds </w:t>
      </w:r>
      <w:r w:rsidRPr="00E04BC7">
        <w:rPr>
          <w:rFonts w:ascii="Times New Roman" w:hAnsi="Times New Roman" w:cs="Times New Roman"/>
          <w:color w:val="000000"/>
          <w:sz w:val="24"/>
        </w:rPr>
        <w:t>possessing a broad spectrum of biologica</w:t>
      </w:r>
      <w:r>
        <w:rPr>
          <w:rFonts w:ascii="Times New Roman" w:hAnsi="Times New Roman" w:cs="Times New Roman"/>
          <w:color w:val="000000"/>
          <w:sz w:val="24"/>
        </w:rPr>
        <w:t xml:space="preserve">l effects including cytostatic, </w:t>
      </w:r>
      <w:r w:rsidRPr="00E04BC7">
        <w:rPr>
          <w:rFonts w:ascii="Times New Roman" w:hAnsi="Times New Roman" w:cs="Times New Roman"/>
          <w:color w:val="000000"/>
          <w:sz w:val="24"/>
        </w:rPr>
        <w:t>antiviral, antibacterial as well as receptor</w:t>
      </w:r>
      <w:r>
        <w:rPr>
          <w:rFonts w:ascii="Times New Roman" w:hAnsi="Times New Roman" w:cs="Times New Roman"/>
          <w:color w:val="000000"/>
          <w:sz w:val="24"/>
        </w:rPr>
        <w:t xml:space="preserve"> </w:t>
      </w:r>
      <w:r w:rsidRPr="00E04BC7">
        <w:rPr>
          <w:rFonts w:ascii="Times New Roman" w:hAnsi="Times New Roman" w:cs="Times New Roman"/>
          <w:color w:val="000000"/>
          <w:sz w:val="24"/>
        </w:rPr>
        <w:t>modulati</w:t>
      </w:r>
      <w:r>
        <w:rPr>
          <w:rFonts w:ascii="Times New Roman" w:hAnsi="Times New Roman" w:cs="Times New Roman"/>
          <w:color w:val="000000"/>
          <w:sz w:val="24"/>
        </w:rPr>
        <w:t>on activity.</w:t>
      </w:r>
      <w:r w:rsidRPr="00E04BC7">
        <w:rPr>
          <w:rFonts w:ascii="Times New Roman" w:hAnsi="Times New Roman" w:cs="Times New Roman"/>
          <w:color w:val="000000"/>
          <w:sz w:val="24"/>
        </w:rPr>
        <w:t xml:space="preserve"> The reactivity imparted to </w:t>
      </w:r>
      <w:r>
        <w:rPr>
          <w:rFonts w:ascii="Times New Roman" w:hAnsi="Times New Roman" w:cs="Times New Roman"/>
          <w:color w:val="000000"/>
          <w:sz w:val="24"/>
        </w:rPr>
        <w:t>purines and related nucleosides by halogenation at C</w:t>
      </w:r>
      <w:r w:rsidRPr="00E04BC7">
        <w:rPr>
          <w:rFonts w:ascii="Times New Roman" w:hAnsi="Times New Roman" w:cs="Times New Roman"/>
          <w:color w:val="000000"/>
          <w:sz w:val="24"/>
        </w:rPr>
        <w:t>6</w:t>
      </w:r>
      <w:r>
        <w:rPr>
          <w:rFonts w:ascii="Times New Roman" w:hAnsi="Times New Roman" w:cs="Times New Roman"/>
          <w:color w:val="000000"/>
          <w:sz w:val="24"/>
        </w:rPr>
        <w:t xml:space="preserve"> and C2 positions</w:t>
      </w:r>
      <w:r w:rsidRPr="00E04BC7">
        <w:rPr>
          <w:rFonts w:ascii="Times New Roman" w:hAnsi="Times New Roman" w:cs="Times New Roman"/>
          <w:color w:val="000000"/>
          <w:sz w:val="24"/>
        </w:rPr>
        <w:t xml:space="preserve"> has opened</w:t>
      </w:r>
      <w:r>
        <w:rPr>
          <w:rFonts w:ascii="Times New Roman" w:hAnsi="Times New Roman" w:cs="Times New Roman"/>
          <w:color w:val="000000"/>
          <w:sz w:val="24"/>
        </w:rPr>
        <w:t xml:space="preserve"> the way to the construction of new libraries of C</w:t>
      </w:r>
      <w:r w:rsidRPr="00E04BC7">
        <w:rPr>
          <w:rFonts w:ascii="Times New Roman" w:hAnsi="Times New Roman" w:cs="Times New Roman"/>
          <w:color w:val="000000"/>
          <w:sz w:val="24"/>
        </w:rPr>
        <w:t>6</w:t>
      </w:r>
      <w:r>
        <w:rPr>
          <w:rFonts w:ascii="Times New Roman" w:hAnsi="Times New Roman" w:cs="Times New Roman"/>
          <w:color w:val="000000"/>
          <w:sz w:val="24"/>
        </w:rPr>
        <w:t xml:space="preserve"> and C2</w:t>
      </w:r>
      <w:r w:rsidRPr="00E04BC7">
        <w:rPr>
          <w:rFonts w:ascii="Times New Roman" w:hAnsi="Times New Roman" w:cs="Times New Roman"/>
          <w:color w:val="000000"/>
          <w:sz w:val="24"/>
        </w:rPr>
        <w:t xml:space="preserve"> modified nucle</w:t>
      </w:r>
      <w:r>
        <w:rPr>
          <w:rFonts w:ascii="Times New Roman" w:hAnsi="Times New Roman" w:cs="Times New Roman"/>
          <w:color w:val="000000"/>
          <w:sz w:val="24"/>
        </w:rPr>
        <w:t xml:space="preserve">osides generally through direct </w:t>
      </w:r>
      <w:r w:rsidRPr="00E04BC7">
        <w:rPr>
          <w:rFonts w:ascii="Times New Roman" w:hAnsi="Times New Roman" w:cs="Times New Roman"/>
          <w:color w:val="000000"/>
          <w:sz w:val="24"/>
        </w:rPr>
        <w:t>aromatic nu</w:t>
      </w:r>
      <w:r>
        <w:rPr>
          <w:rFonts w:ascii="Times New Roman" w:hAnsi="Times New Roman" w:cs="Times New Roman"/>
          <w:color w:val="000000"/>
          <w:sz w:val="24"/>
        </w:rPr>
        <w:t>cleophilic substitution (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</w:t>
      </w:r>
      <w:r w:rsidRPr="00F50D6A">
        <w:rPr>
          <w:rFonts w:ascii="Times New Roman" w:hAnsi="Times New Roman" w:cs="Times New Roman"/>
          <w:i/>
          <w:color w:val="000000"/>
          <w:sz w:val="24"/>
          <w:vertAlign w:val="subscript"/>
        </w:rPr>
        <w:t>N</w:t>
      </w:r>
      <w:r>
        <w:rPr>
          <w:rFonts w:ascii="Times New Roman" w:hAnsi="Times New Roman" w:cs="Times New Roman"/>
          <w:color w:val="000000"/>
          <w:sz w:val="24"/>
        </w:rPr>
        <w:t>Ar</w:t>
      </w:r>
      <w:proofErr w:type="spellEnd"/>
      <w:r>
        <w:rPr>
          <w:rFonts w:ascii="Times New Roman" w:hAnsi="Times New Roman" w:cs="Times New Roman"/>
          <w:color w:val="000000"/>
          <w:sz w:val="24"/>
        </w:rPr>
        <w:t>),</w:t>
      </w:r>
      <w:r w:rsidRPr="00E04BC7">
        <w:rPr>
          <w:rFonts w:ascii="Times New Roman" w:hAnsi="Times New Roman" w:cs="Times New Roman"/>
          <w:color w:val="000000"/>
          <w:sz w:val="24"/>
        </w:rPr>
        <w:t xml:space="preserve"> or met</w:t>
      </w:r>
      <w:r>
        <w:rPr>
          <w:rFonts w:ascii="Times New Roman" w:hAnsi="Times New Roman" w:cs="Times New Roman"/>
          <w:color w:val="000000"/>
          <w:sz w:val="24"/>
        </w:rPr>
        <w:t xml:space="preserve">al-mediated </w:t>
      </w:r>
      <w:r w:rsidRPr="00E04BC7">
        <w:rPr>
          <w:rFonts w:ascii="Times New Roman" w:hAnsi="Times New Roman" w:cs="Times New Roman"/>
          <w:color w:val="000000"/>
          <w:sz w:val="24"/>
        </w:rPr>
        <w:t>cross-coupling processes</w:t>
      </w:r>
      <w:r>
        <w:rPr>
          <w:rFonts w:ascii="Times New Roman" w:hAnsi="Times New Roman" w:cs="Times New Roman"/>
          <w:color w:val="000000"/>
          <w:sz w:val="24"/>
        </w:rPr>
        <w:t xml:space="preserve">. We have recently reported on </w:t>
      </w:r>
      <w:r w:rsidRPr="00B52ACA">
        <w:rPr>
          <w:rFonts w:ascii="Times New Roman" w:hAnsi="Times New Roman" w:cs="Times New Roman"/>
          <w:color w:val="000000"/>
          <w:sz w:val="24"/>
        </w:rPr>
        <w:t xml:space="preserve">the reactivity of </w:t>
      </w:r>
      <w:r>
        <w:rPr>
          <w:rFonts w:ascii="Times New Roman" w:hAnsi="Times New Roman" w:cs="Times New Roman"/>
          <w:color w:val="000000"/>
          <w:sz w:val="24"/>
        </w:rPr>
        <w:t>9-ribosyl purine (</w:t>
      </w:r>
      <w:r w:rsidRPr="00AA77B5">
        <w:rPr>
          <w:rFonts w:ascii="Times New Roman" w:hAnsi="Times New Roman" w:cs="Times New Roman"/>
          <w:color w:val="000000"/>
          <w:sz w:val="24"/>
        </w:rPr>
        <w:t>nebularine</w:t>
      </w:r>
      <w:r>
        <w:rPr>
          <w:rFonts w:ascii="Times New Roman" w:hAnsi="Times New Roman" w:cs="Times New Roman"/>
          <w:color w:val="000000"/>
          <w:sz w:val="24"/>
        </w:rPr>
        <w:t>)</w:t>
      </w:r>
      <w:r w:rsidRPr="00B52ACA">
        <w:rPr>
          <w:rFonts w:ascii="Times New Roman" w:hAnsi="Times New Roman" w:cs="Times New Roman"/>
          <w:color w:val="000000"/>
          <w:sz w:val="24"/>
        </w:rPr>
        <w:t xml:space="preserve"> N1-oxide demonstrating that its C6(C2)-N1-O</w:t>
      </w:r>
      <w:r w:rsidRPr="00B52ACA">
        <w:rPr>
          <w:rFonts w:ascii="Times New Roman" w:hAnsi="Times New Roman" w:cs="Times New Roman"/>
          <w:color w:val="000000"/>
          <w:sz w:val="24"/>
          <w:vertAlign w:val="superscript"/>
        </w:rPr>
        <w:t>-</w:t>
      </w:r>
      <w:r w:rsidRPr="00B52ACA">
        <w:rPr>
          <w:rFonts w:ascii="Times New Roman" w:hAnsi="Times New Roman" w:cs="Times New Roman"/>
          <w:color w:val="000000"/>
          <w:sz w:val="24"/>
        </w:rPr>
        <w:t xml:space="preserve"> nitrone moiety can react</w:t>
      </w:r>
      <w:r>
        <w:rPr>
          <w:rFonts w:ascii="Times New Roman" w:hAnsi="Times New Roman" w:cs="Times New Roman"/>
          <w:color w:val="000000"/>
          <w:sz w:val="24"/>
        </w:rPr>
        <w:t xml:space="preserve"> with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dipolarophiles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and</w:t>
      </w:r>
      <w:r w:rsidRPr="00B52ACA">
        <w:rPr>
          <w:rFonts w:ascii="Times New Roman" w:hAnsi="Times New Roman" w:cs="Times New Roman"/>
          <w:color w:val="000000"/>
          <w:sz w:val="24"/>
        </w:rPr>
        <w:t xml:space="preserve"> with Grignard reagents leading to their addition on the C6 or C2 carbons of the purine base</w:t>
      </w:r>
      <w:r>
        <w:rPr>
          <w:rFonts w:ascii="Times New Roman" w:hAnsi="Times New Roman" w:cs="Times New Roman"/>
          <w:color w:val="000000"/>
          <w:sz w:val="24"/>
        </w:rPr>
        <w:t>.</w:t>
      </w:r>
    </w:p>
    <w:p w:rsidR="002D1AB9" w:rsidRDefault="002D1AB9" w:rsidP="002D1AB9">
      <w:pPr>
        <w:pStyle w:val="CHISA"/>
        <w:ind w:firstLine="454"/>
        <w:jc w:val="both"/>
        <w:rPr>
          <w:rFonts w:ascii="Times New Roman" w:hAnsi="Times New Roman" w:cs="Times New Roman"/>
          <w:color w:val="000000"/>
          <w:sz w:val="24"/>
        </w:rPr>
      </w:pPr>
    </w:p>
    <w:p w:rsidR="002D1AB9" w:rsidRDefault="002D1AB9" w:rsidP="002D1AB9">
      <w:pPr>
        <w:pStyle w:val="CHISA"/>
        <w:ind w:firstLine="454"/>
        <w:jc w:val="center"/>
        <w:rPr>
          <w:rFonts w:ascii="Times New Roman" w:hAnsi="Times New Roman" w:cs="Times New Roman"/>
          <w:color w:val="000000"/>
          <w:sz w:val="24"/>
        </w:rPr>
      </w:pPr>
      <w:r>
        <w:object w:dxaOrig="2493" w:dyaOrig="30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4.5pt;height:154.5pt" o:ole="">
            <v:imagedata r:id="rId5" o:title=""/>
          </v:shape>
          <o:OLEObject Type="Embed" ProgID="ChemDraw.Document.6.0" ShapeID="_x0000_i1025" DrawAspect="Content" ObjectID="_1568026882" r:id="rId6"/>
        </w:object>
      </w:r>
    </w:p>
    <w:p w:rsidR="002D1AB9" w:rsidRDefault="002D1AB9" w:rsidP="002D1AB9">
      <w:pPr>
        <w:pStyle w:val="CHISA"/>
        <w:ind w:firstLine="454"/>
        <w:jc w:val="both"/>
        <w:rPr>
          <w:rFonts w:ascii="Times New Roman" w:hAnsi="Times New Roman" w:cs="Times New Roman"/>
          <w:color w:val="000000"/>
          <w:sz w:val="24"/>
        </w:rPr>
      </w:pPr>
    </w:p>
    <w:p w:rsidR="002D1AB9" w:rsidRPr="00CA1DEF" w:rsidRDefault="002D1AB9" w:rsidP="002D1AB9">
      <w:pPr>
        <w:pStyle w:val="CHISA"/>
        <w:jc w:val="both"/>
        <w:rPr>
          <w:rFonts w:ascii="Times New Roman" w:hAnsi="Times New Roman" w:cs="Times New Roman"/>
          <w:color w:val="000000"/>
          <w:sz w:val="24"/>
          <w:vertAlign w:val="superscript"/>
        </w:rPr>
      </w:pPr>
      <w:r>
        <w:rPr>
          <w:rFonts w:ascii="Times New Roman" w:hAnsi="Times New Roman" w:cs="Times New Roman"/>
          <w:color w:val="000000"/>
          <w:sz w:val="24"/>
        </w:rPr>
        <w:t xml:space="preserve">In particular, </w:t>
      </w:r>
      <w:r w:rsidRPr="00A56A2F">
        <w:rPr>
          <w:rFonts w:ascii="Times New Roman" w:hAnsi="Times New Roman" w:cs="Times New Roman"/>
          <w:color w:val="000000"/>
          <w:sz w:val="24"/>
        </w:rPr>
        <w:t>we observed that the sugar</w:t>
      </w:r>
      <w:r>
        <w:rPr>
          <w:rFonts w:ascii="Times New Roman" w:hAnsi="Times New Roman" w:cs="Times New Roman"/>
          <w:color w:val="000000"/>
          <w:sz w:val="24"/>
        </w:rPr>
        <w:t xml:space="preserve">-protected nebularine N1-oxide </w:t>
      </w:r>
      <w:r>
        <w:rPr>
          <w:rFonts w:ascii="Times New Roman" w:hAnsi="Times New Roman" w:cs="Times New Roman"/>
          <w:b/>
          <w:color w:val="000000"/>
          <w:sz w:val="24"/>
        </w:rPr>
        <w:t>1</w:t>
      </w:r>
      <w:r w:rsidRPr="00A56A2F">
        <w:rPr>
          <w:rFonts w:ascii="Times New Roman" w:hAnsi="Times New Roman" w:cs="Times New Roman"/>
          <w:color w:val="000000"/>
          <w:sz w:val="24"/>
        </w:rPr>
        <w:t xml:space="preserve"> can </w:t>
      </w:r>
      <w:proofErr w:type="spellStart"/>
      <w:r w:rsidRPr="00A56A2F">
        <w:rPr>
          <w:rFonts w:ascii="Times New Roman" w:hAnsi="Times New Roman" w:cs="Times New Roman"/>
          <w:color w:val="000000"/>
          <w:sz w:val="24"/>
        </w:rPr>
        <w:t>regio</w:t>
      </w:r>
      <w:r>
        <w:rPr>
          <w:rFonts w:ascii="Times New Roman" w:hAnsi="Times New Roman" w:cs="Times New Roman"/>
          <w:color w:val="000000"/>
          <w:sz w:val="24"/>
        </w:rPr>
        <w:t>selectively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react with Grignard </w:t>
      </w:r>
      <w:r w:rsidRPr="00A56A2F">
        <w:rPr>
          <w:rFonts w:ascii="Times New Roman" w:hAnsi="Times New Roman" w:cs="Times New Roman"/>
          <w:color w:val="000000"/>
          <w:sz w:val="24"/>
        </w:rPr>
        <w:t>reagents at the more electr</w:t>
      </w:r>
      <w:r>
        <w:rPr>
          <w:rFonts w:ascii="Times New Roman" w:hAnsi="Times New Roman" w:cs="Times New Roman"/>
          <w:color w:val="000000"/>
          <w:sz w:val="24"/>
        </w:rPr>
        <w:t xml:space="preserve">ophilic C6 position leading to an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adduct</w:t>
      </w:r>
      <w:proofErr w:type="spellEnd"/>
      <w:r w:rsidRPr="00A56A2F">
        <w:rPr>
          <w:rFonts w:ascii="Times New Roman" w:hAnsi="Times New Roman" w:cs="Times New Roman"/>
          <w:color w:val="000000"/>
          <w:sz w:val="24"/>
        </w:rPr>
        <w:t>, which re-aro</w:t>
      </w:r>
      <w:r>
        <w:rPr>
          <w:rFonts w:ascii="Times New Roman" w:hAnsi="Times New Roman" w:cs="Times New Roman"/>
          <w:color w:val="000000"/>
          <w:sz w:val="24"/>
        </w:rPr>
        <w:t>matized by treatment with Ac</w:t>
      </w:r>
      <w:r w:rsidRPr="009F7B47">
        <w:rPr>
          <w:rFonts w:ascii="Times New Roman" w:hAnsi="Times New Roman" w:cs="Times New Roman"/>
          <w:color w:val="000000"/>
          <w:sz w:val="24"/>
          <w:vertAlign w:val="subscript"/>
        </w:rPr>
        <w:t>2</w:t>
      </w:r>
      <w:r>
        <w:rPr>
          <w:rFonts w:ascii="Times New Roman" w:hAnsi="Times New Roman" w:cs="Times New Roman"/>
          <w:color w:val="000000"/>
          <w:sz w:val="24"/>
        </w:rPr>
        <w:t>O/</w:t>
      </w:r>
      <w:r w:rsidRPr="00A56A2F">
        <w:rPr>
          <w:rFonts w:ascii="Times New Roman" w:hAnsi="Times New Roman" w:cs="Times New Roman"/>
          <w:color w:val="000000"/>
          <w:sz w:val="24"/>
        </w:rPr>
        <w:t>pyridine</w:t>
      </w:r>
      <w:r>
        <w:rPr>
          <w:rFonts w:ascii="Times New Roman" w:hAnsi="Times New Roman" w:cs="Times New Roman"/>
          <w:color w:val="000000"/>
          <w:sz w:val="24"/>
        </w:rPr>
        <w:t xml:space="preserve">, </w:t>
      </w:r>
      <w:r w:rsidRPr="00A56A2F">
        <w:rPr>
          <w:rFonts w:ascii="Times New Roman" w:hAnsi="Times New Roman" w:cs="Times New Roman"/>
          <w:color w:val="000000"/>
          <w:sz w:val="24"/>
        </w:rPr>
        <w:t>furnish</w:t>
      </w:r>
      <w:r>
        <w:rPr>
          <w:rFonts w:ascii="Times New Roman" w:hAnsi="Times New Roman" w:cs="Times New Roman"/>
          <w:color w:val="000000"/>
          <w:sz w:val="24"/>
        </w:rPr>
        <w:t>ing</w:t>
      </w:r>
      <w:r w:rsidRPr="00A56A2F">
        <w:rPr>
          <w:rFonts w:ascii="Times New Roman" w:hAnsi="Times New Roman" w:cs="Times New Roman"/>
          <w:color w:val="000000"/>
          <w:sz w:val="24"/>
        </w:rPr>
        <w:t xml:space="preserve"> the C6-</w:t>
      </w:r>
      <w:r>
        <w:rPr>
          <w:rFonts w:ascii="Times New Roman" w:hAnsi="Times New Roman" w:cs="Times New Roman"/>
          <w:color w:val="000000"/>
          <w:sz w:val="24"/>
        </w:rPr>
        <w:t xml:space="preserve">substituted purine nucleoside </w:t>
      </w:r>
      <w:r>
        <w:rPr>
          <w:rFonts w:ascii="Times New Roman" w:hAnsi="Times New Roman" w:cs="Times New Roman"/>
          <w:b/>
          <w:color w:val="000000"/>
          <w:sz w:val="24"/>
        </w:rPr>
        <w:t>3</w:t>
      </w:r>
      <w:r>
        <w:rPr>
          <w:rFonts w:ascii="Times New Roman" w:hAnsi="Times New Roman" w:cs="Times New Roman"/>
          <w:color w:val="000000"/>
          <w:sz w:val="24"/>
        </w:rPr>
        <w:t xml:space="preserve"> </w:t>
      </w:r>
      <w:r w:rsidRPr="00A56A2F">
        <w:rPr>
          <w:rFonts w:ascii="Times New Roman" w:hAnsi="Times New Roman" w:cs="Times New Roman"/>
          <w:color w:val="000000"/>
          <w:sz w:val="24"/>
        </w:rPr>
        <w:t>in high yields.</w:t>
      </w:r>
      <w:r>
        <w:rPr>
          <w:rFonts w:ascii="Times New Roman" w:hAnsi="Times New Roman" w:cs="Times New Roman"/>
          <w:color w:val="000000"/>
          <w:sz w:val="24"/>
          <w:vertAlign w:val="superscript"/>
        </w:rPr>
        <w:t>1</w:t>
      </w:r>
      <w:r w:rsidRPr="00A56A2F">
        <w:rPr>
          <w:rFonts w:ascii="Times New Roman" w:hAnsi="Times New Roman" w:cs="Times New Roman"/>
          <w:color w:val="000000"/>
          <w:sz w:val="24"/>
        </w:rPr>
        <w:t xml:space="preserve"> We have also</w:t>
      </w:r>
      <w:r>
        <w:rPr>
          <w:rFonts w:ascii="Times New Roman" w:hAnsi="Times New Roman" w:cs="Times New Roman"/>
          <w:color w:val="000000"/>
          <w:sz w:val="24"/>
        </w:rPr>
        <w:t xml:space="preserve"> shown that a second alkyl/aryl </w:t>
      </w:r>
      <w:r w:rsidRPr="00A56A2F">
        <w:rPr>
          <w:rFonts w:ascii="Times New Roman" w:hAnsi="Times New Roman" w:cs="Times New Roman"/>
          <w:color w:val="000000"/>
          <w:sz w:val="24"/>
        </w:rPr>
        <w:t>substituent can be introduce</w:t>
      </w:r>
      <w:r>
        <w:rPr>
          <w:rFonts w:ascii="Times New Roman" w:hAnsi="Times New Roman" w:cs="Times New Roman"/>
          <w:color w:val="000000"/>
          <w:sz w:val="24"/>
        </w:rPr>
        <w:t xml:space="preserve">d at C2 by a similar strategy, </w:t>
      </w:r>
      <w:r w:rsidRPr="00A56A2F">
        <w:rPr>
          <w:rFonts w:ascii="Times New Roman" w:hAnsi="Times New Roman" w:cs="Times New Roman"/>
          <w:color w:val="000000"/>
          <w:sz w:val="24"/>
        </w:rPr>
        <w:t>that is, by the addition o</w:t>
      </w:r>
      <w:r>
        <w:rPr>
          <w:rFonts w:ascii="Times New Roman" w:hAnsi="Times New Roman" w:cs="Times New Roman"/>
          <w:color w:val="000000"/>
          <w:sz w:val="24"/>
        </w:rPr>
        <w:t xml:space="preserve">f a Grignard reagent to the C6- </w:t>
      </w:r>
      <w:r w:rsidRPr="00A56A2F">
        <w:rPr>
          <w:rFonts w:ascii="Times New Roman" w:hAnsi="Times New Roman" w:cs="Times New Roman"/>
          <w:color w:val="000000"/>
          <w:sz w:val="24"/>
        </w:rPr>
        <w:t>s</w:t>
      </w:r>
      <w:r>
        <w:rPr>
          <w:rFonts w:ascii="Times New Roman" w:hAnsi="Times New Roman" w:cs="Times New Roman"/>
          <w:color w:val="000000"/>
          <w:sz w:val="24"/>
        </w:rPr>
        <w:t xml:space="preserve">ubstituted nebularine N1-oxides through the opening/reclosing </w:t>
      </w:r>
      <w:r w:rsidRPr="00A56A2F">
        <w:rPr>
          <w:rFonts w:ascii="Times New Roman" w:hAnsi="Times New Roman" w:cs="Times New Roman"/>
          <w:color w:val="000000"/>
          <w:sz w:val="24"/>
        </w:rPr>
        <w:t xml:space="preserve">of the pyrimidine ring </w:t>
      </w:r>
      <w:r>
        <w:rPr>
          <w:rFonts w:ascii="Times New Roman" w:hAnsi="Times New Roman" w:cs="Times New Roman"/>
          <w:color w:val="000000"/>
          <w:sz w:val="24"/>
        </w:rPr>
        <w:t xml:space="preserve">induced by the Grignard reagent </w:t>
      </w:r>
      <w:r w:rsidRPr="00A56A2F">
        <w:rPr>
          <w:rFonts w:ascii="Times New Roman" w:hAnsi="Times New Roman" w:cs="Times New Roman"/>
          <w:color w:val="000000"/>
          <w:sz w:val="24"/>
        </w:rPr>
        <w:t>itself. Through this approach, we have s</w:t>
      </w:r>
      <w:r>
        <w:rPr>
          <w:rFonts w:ascii="Times New Roman" w:hAnsi="Times New Roman" w:cs="Times New Roman"/>
          <w:color w:val="000000"/>
          <w:sz w:val="24"/>
        </w:rPr>
        <w:t xml:space="preserve">ynthesized new </w:t>
      </w:r>
      <w:r w:rsidRPr="00A56A2F">
        <w:rPr>
          <w:rFonts w:ascii="Times New Roman" w:hAnsi="Times New Roman" w:cs="Times New Roman"/>
          <w:color w:val="000000"/>
          <w:sz w:val="24"/>
        </w:rPr>
        <w:t xml:space="preserve">collections of </w:t>
      </w:r>
      <w:r>
        <w:rPr>
          <w:rFonts w:ascii="Times New Roman" w:hAnsi="Times New Roman" w:cs="Times New Roman"/>
          <w:color w:val="000000"/>
          <w:sz w:val="24"/>
        </w:rPr>
        <w:t xml:space="preserve">2,6-dialkyl(aryl)purine nucleosides </w:t>
      </w:r>
      <w:r>
        <w:rPr>
          <w:rFonts w:ascii="Times New Roman" w:hAnsi="Times New Roman" w:cs="Times New Roman"/>
          <w:b/>
          <w:color w:val="000000"/>
          <w:sz w:val="24"/>
        </w:rPr>
        <w:t>5</w:t>
      </w:r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 w:hAnsi="Times New Roman" w:cs="Times New Roman"/>
          <w:color w:val="000000"/>
          <w:sz w:val="24"/>
          <w:vertAlign w:val="superscript"/>
        </w:rPr>
        <w:t>2</w:t>
      </w:r>
    </w:p>
    <w:p w:rsidR="002D1AB9" w:rsidRDefault="002D1AB9" w:rsidP="002D1AB9">
      <w:pPr>
        <w:pStyle w:val="CHISA"/>
        <w:ind w:firstLine="454"/>
        <w:jc w:val="both"/>
        <w:rPr>
          <w:rFonts w:ascii="Times New Roman" w:hAnsi="Times New Roman" w:cs="Times New Roman"/>
          <w:color w:val="000000"/>
          <w:sz w:val="24"/>
        </w:rPr>
      </w:pPr>
    </w:p>
    <w:p w:rsidR="002D1AB9" w:rsidRDefault="002D1AB9" w:rsidP="002D1AB9">
      <w:pPr>
        <w:pStyle w:val="CHISA"/>
        <w:ind w:firstLine="454"/>
        <w:rPr>
          <w:rFonts w:ascii="Times New Roman" w:hAnsi="Times New Roman" w:cs="Times New Roman"/>
          <w:color w:val="000000"/>
          <w:sz w:val="24"/>
        </w:rPr>
      </w:pPr>
      <w:r>
        <w:object w:dxaOrig="7654" w:dyaOrig="4166">
          <v:shape id="_x0000_i1026" type="#_x0000_t75" style="width:382.5pt;height:208.5pt" o:ole="">
            <v:imagedata r:id="rId7" o:title=""/>
          </v:shape>
          <o:OLEObject Type="Embed" ProgID="ChemDraw.Document.6.0" ShapeID="_x0000_i1026" DrawAspect="Content" ObjectID="_1568026883" r:id="rId8"/>
        </w:object>
      </w:r>
    </w:p>
    <w:p w:rsidR="002D1AB9" w:rsidRDefault="002D1AB9" w:rsidP="002D1AB9">
      <w:pPr>
        <w:autoSpaceDE w:val="0"/>
        <w:autoSpaceDN w:val="0"/>
        <w:adjustRightInd w:val="0"/>
        <w:jc w:val="both"/>
        <w:rPr>
          <w:rFonts w:eastAsia="Calibri"/>
          <w:lang w:val="en-US" w:eastAsia="en-US"/>
        </w:rPr>
      </w:pPr>
    </w:p>
    <w:p w:rsidR="002D1AB9" w:rsidRPr="00CA1DEF" w:rsidRDefault="002D1AB9" w:rsidP="002D1AB9">
      <w:pPr>
        <w:autoSpaceDE w:val="0"/>
        <w:autoSpaceDN w:val="0"/>
        <w:adjustRightInd w:val="0"/>
        <w:jc w:val="both"/>
        <w:rPr>
          <w:rFonts w:eastAsia="Calibri"/>
          <w:vertAlign w:val="superscript"/>
          <w:lang w:val="en-US" w:eastAsia="en-US"/>
        </w:rPr>
      </w:pPr>
      <w:r>
        <w:rPr>
          <w:rFonts w:eastAsia="Calibri"/>
          <w:lang w:val="en-US" w:eastAsia="en-US"/>
        </w:rPr>
        <w:t xml:space="preserve">A slightly modified synthetic procedure allowed us also to insert </w:t>
      </w:r>
      <w:r w:rsidRPr="00B52ACA">
        <w:rPr>
          <w:rFonts w:eastAsia="Calibri"/>
          <w:lang w:val="en-US" w:eastAsia="en-US"/>
        </w:rPr>
        <w:t>pyridinyl</w:t>
      </w:r>
      <w:r>
        <w:rPr>
          <w:rFonts w:eastAsia="Calibri"/>
          <w:lang w:val="en-US" w:eastAsia="en-US"/>
        </w:rPr>
        <w:t xml:space="preserve"> residues at the C6 purine position to obtain the few explored</w:t>
      </w:r>
      <w:r w:rsidRPr="009F7B47">
        <w:rPr>
          <w:rFonts w:eastAsia="Calibri"/>
          <w:lang w:val="en-US" w:eastAsia="en-US"/>
        </w:rPr>
        <w:t xml:space="preserve"> C6</w:t>
      </w:r>
      <w:r>
        <w:rPr>
          <w:rFonts w:eastAsia="Calibri"/>
          <w:lang w:val="en-US" w:eastAsia="en-US"/>
        </w:rPr>
        <w:t>-p</w:t>
      </w:r>
      <w:r w:rsidRPr="009F7B47">
        <w:rPr>
          <w:rFonts w:eastAsia="Calibri"/>
          <w:lang w:val="en-US" w:eastAsia="en-US"/>
        </w:rPr>
        <w:t>yridinyl nucleosides</w:t>
      </w:r>
      <w:r>
        <w:rPr>
          <w:rFonts w:eastAsia="Calibri"/>
          <w:lang w:val="en-US" w:eastAsia="en-US"/>
        </w:rPr>
        <w:t xml:space="preserve"> </w:t>
      </w:r>
      <w:r w:rsidRPr="0005018F">
        <w:rPr>
          <w:rFonts w:eastAsia="Calibri"/>
          <w:b/>
          <w:lang w:val="en-US" w:eastAsia="en-US"/>
        </w:rPr>
        <w:t>6</w:t>
      </w:r>
      <w:r>
        <w:rPr>
          <w:rFonts w:eastAsia="Calibri"/>
          <w:lang w:val="en-US" w:eastAsia="en-US"/>
        </w:rPr>
        <w:t>.</w:t>
      </w:r>
      <w:r>
        <w:rPr>
          <w:rFonts w:eastAsia="Calibri"/>
          <w:vertAlign w:val="superscript"/>
          <w:lang w:val="en-US" w:eastAsia="en-US"/>
        </w:rPr>
        <w:t>3</w:t>
      </w:r>
      <w:r>
        <w:rPr>
          <w:rFonts w:eastAsia="Calibri"/>
          <w:lang w:val="en-US" w:eastAsia="en-US"/>
        </w:rPr>
        <w:t xml:space="preserve"> The last </w:t>
      </w:r>
      <w:r w:rsidRPr="009F7B47">
        <w:rPr>
          <w:rFonts w:eastAsia="Calibri"/>
          <w:lang w:val="en-US" w:eastAsia="en-US"/>
        </w:rPr>
        <w:t>are</w:t>
      </w:r>
      <w:r>
        <w:rPr>
          <w:rFonts w:eastAsia="Calibri"/>
          <w:lang w:val="en-US" w:eastAsia="en-US"/>
        </w:rPr>
        <w:t xml:space="preserve"> appealing nucleoside analogues </w:t>
      </w:r>
      <w:r w:rsidRPr="009F7B47">
        <w:rPr>
          <w:rFonts w:eastAsia="Calibri"/>
          <w:lang w:val="en-US" w:eastAsia="en-US"/>
        </w:rPr>
        <w:t>because the presence of a nitrogen</w:t>
      </w:r>
      <w:r>
        <w:rPr>
          <w:rFonts w:eastAsia="Calibri"/>
          <w:lang w:val="en-US" w:eastAsia="en-US"/>
        </w:rPr>
        <w:t xml:space="preserve"> atom in the C6 </w:t>
      </w:r>
      <w:r w:rsidRPr="009F7B47">
        <w:rPr>
          <w:rFonts w:eastAsia="Calibri"/>
          <w:lang w:val="en-US" w:eastAsia="en-US"/>
        </w:rPr>
        <w:t>residue can potentially alter the hydrogen-bonding capabilities</w:t>
      </w:r>
      <w:r>
        <w:rPr>
          <w:rFonts w:eastAsia="Calibri"/>
          <w:lang w:val="en-US" w:eastAsia="en-US"/>
        </w:rPr>
        <w:t xml:space="preserve"> </w:t>
      </w:r>
      <w:r w:rsidRPr="009F7B47">
        <w:rPr>
          <w:rFonts w:eastAsia="Calibri"/>
          <w:lang w:val="en-US" w:eastAsia="en-US"/>
        </w:rPr>
        <w:t>of the nucleoside as well as promote its coordination to</w:t>
      </w:r>
      <w:r>
        <w:rPr>
          <w:rFonts w:eastAsia="Calibri"/>
          <w:lang w:val="en-US"/>
        </w:rPr>
        <w:t xml:space="preserve"> </w:t>
      </w:r>
      <w:r w:rsidRPr="003773AC">
        <w:rPr>
          <w:rFonts w:eastAsia="Calibri"/>
          <w:lang w:val="en-US" w:eastAsia="en-US"/>
        </w:rPr>
        <w:t>biologically important metals, such as platinum and ruthenium.</w:t>
      </w:r>
      <w:r>
        <w:rPr>
          <w:rFonts w:eastAsia="Calibri"/>
          <w:lang w:val="en-US" w:eastAsia="en-US"/>
        </w:rPr>
        <w:t xml:space="preserve"> W</w:t>
      </w:r>
      <w:r w:rsidRPr="00B52ACA">
        <w:rPr>
          <w:rFonts w:eastAsia="Calibri"/>
          <w:lang w:val="en-US" w:eastAsia="en-US"/>
        </w:rPr>
        <w:t>e</w:t>
      </w:r>
      <w:r>
        <w:rPr>
          <w:rFonts w:eastAsia="Calibri"/>
          <w:lang w:val="en-US" w:eastAsia="en-US"/>
        </w:rPr>
        <w:t xml:space="preserve"> have discovered that they can be easily accessed after </w:t>
      </w:r>
      <w:r w:rsidRPr="00B52ACA">
        <w:rPr>
          <w:rFonts w:eastAsia="Calibri"/>
          <w:lang w:val="en-US" w:eastAsia="en-US"/>
        </w:rPr>
        <w:t xml:space="preserve">bromine-magnesium exchange between bromopyridines and </w:t>
      </w:r>
      <w:proofErr w:type="spellStart"/>
      <w:r w:rsidRPr="00B52ACA">
        <w:rPr>
          <w:rFonts w:eastAsia="Calibri"/>
          <w:i/>
          <w:vertAlign w:val="superscript"/>
          <w:lang w:val="en-US" w:eastAsia="en-US"/>
        </w:rPr>
        <w:t>i</w:t>
      </w:r>
      <w:r w:rsidRPr="00B52ACA">
        <w:rPr>
          <w:rFonts w:eastAsia="Calibri"/>
          <w:lang w:val="en-US" w:eastAsia="en-US"/>
        </w:rPr>
        <w:t>PrMgCl</w:t>
      </w:r>
      <w:proofErr w:type="spellEnd"/>
      <w:r>
        <w:rPr>
          <w:rFonts w:eastAsia="Calibri"/>
          <w:lang w:val="en-US" w:eastAsia="en-US"/>
        </w:rPr>
        <w:t>.</w:t>
      </w:r>
    </w:p>
    <w:p w:rsidR="002D1AB9" w:rsidRPr="00784C7B" w:rsidRDefault="002D1AB9" w:rsidP="002D1AB9">
      <w:pPr>
        <w:pStyle w:val="CHISA"/>
        <w:ind w:firstLine="454"/>
        <w:jc w:val="both"/>
        <w:rPr>
          <w:rFonts w:ascii="Times New Roman" w:hAnsi="Times New Roman" w:cs="Times New Roman"/>
          <w:color w:val="000000"/>
          <w:sz w:val="24"/>
        </w:rPr>
      </w:pPr>
    </w:p>
    <w:p w:rsidR="002D1AB9" w:rsidRPr="00ED444A" w:rsidRDefault="002D1AB9" w:rsidP="002D1AB9">
      <w:pPr>
        <w:pStyle w:val="NormaleWeb"/>
        <w:spacing w:before="0" w:beforeAutospacing="0" w:after="0" w:afterAutospacing="0"/>
        <w:jc w:val="both"/>
        <w:rPr>
          <w:lang w:val="en-US"/>
        </w:rPr>
      </w:pPr>
    </w:p>
    <w:p w:rsidR="002D1AB9" w:rsidRDefault="002D1AB9" w:rsidP="002D1AB9">
      <w:pPr>
        <w:pStyle w:val="NormaleWeb"/>
        <w:spacing w:before="0" w:beforeAutospacing="0" w:after="0" w:afterAutospacing="0"/>
        <w:ind w:firstLine="454"/>
        <w:jc w:val="center"/>
      </w:pPr>
      <w:r>
        <w:object w:dxaOrig="6139" w:dyaOrig="3468">
          <v:shape id="_x0000_i1027" type="#_x0000_t75" style="width:270.75pt;height:153pt" o:ole="">
            <v:imagedata r:id="rId9" o:title=""/>
          </v:shape>
          <o:OLEObject Type="Embed" ProgID="ChemDraw.Document.6.0" ShapeID="_x0000_i1027" DrawAspect="Content" ObjectID="_1568026884" r:id="rId10"/>
        </w:object>
      </w:r>
    </w:p>
    <w:p w:rsidR="002D1AB9" w:rsidRDefault="002D1AB9" w:rsidP="002D1AB9">
      <w:pPr>
        <w:pStyle w:val="NormaleWeb"/>
        <w:spacing w:before="0" w:beforeAutospacing="0" w:after="0" w:afterAutospacing="0"/>
        <w:jc w:val="both"/>
      </w:pPr>
    </w:p>
    <w:p w:rsidR="002D1AB9" w:rsidRDefault="002D1AB9" w:rsidP="002D1AB9">
      <w:pPr>
        <w:pStyle w:val="NormaleWeb"/>
        <w:spacing w:before="0" w:beforeAutospacing="0" w:after="0" w:afterAutospacing="0"/>
        <w:jc w:val="both"/>
        <w:rPr>
          <w:i/>
        </w:rPr>
      </w:pPr>
    </w:p>
    <w:p w:rsidR="002D1AB9" w:rsidRPr="00ED444A" w:rsidRDefault="002D1AB9" w:rsidP="002D1AB9">
      <w:pPr>
        <w:pStyle w:val="NormaleWeb"/>
        <w:spacing w:before="0" w:beforeAutospacing="0" w:after="0" w:afterAutospacing="0"/>
        <w:jc w:val="both"/>
        <w:rPr>
          <w:b/>
          <w:sz w:val="20"/>
          <w:szCs w:val="20"/>
        </w:rPr>
      </w:pPr>
      <w:proofErr w:type="spellStart"/>
      <w:r w:rsidRPr="00ED444A">
        <w:rPr>
          <w:b/>
          <w:sz w:val="20"/>
          <w:szCs w:val="20"/>
        </w:rPr>
        <w:t>References</w:t>
      </w:r>
      <w:proofErr w:type="spellEnd"/>
      <w:r w:rsidRPr="00ED444A">
        <w:rPr>
          <w:b/>
          <w:sz w:val="20"/>
          <w:szCs w:val="20"/>
        </w:rPr>
        <w:t>:</w:t>
      </w:r>
    </w:p>
    <w:p w:rsidR="002D1AB9" w:rsidRPr="00ED444A" w:rsidRDefault="002D1AB9" w:rsidP="002D1AB9">
      <w:pPr>
        <w:pStyle w:val="NormaleWeb"/>
        <w:numPr>
          <w:ilvl w:val="0"/>
          <w:numId w:val="1"/>
        </w:numPr>
        <w:spacing w:before="0" w:beforeAutospacing="0" w:after="0" w:afterAutospacing="0"/>
        <w:ind w:left="426" w:hanging="426"/>
        <w:jc w:val="both"/>
        <w:rPr>
          <w:rFonts w:eastAsia="Calibri"/>
          <w:sz w:val="20"/>
          <w:szCs w:val="20"/>
          <w:lang w:eastAsia="en-US"/>
        </w:rPr>
      </w:pPr>
      <w:r w:rsidRPr="00ED444A">
        <w:rPr>
          <w:rFonts w:eastAsia="Calibri"/>
          <w:sz w:val="20"/>
          <w:szCs w:val="20"/>
          <w:lang w:eastAsia="en-US"/>
        </w:rPr>
        <w:t xml:space="preserve">D’Errico, S.; </w:t>
      </w:r>
      <w:proofErr w:type="spellStart"/>
      <w:r w:rsidRPr="00ED444A">
        <w:rPr>
          <w:rFonts w:eastAsia="Calibri"/>
          <w:sz w:val="20"/>
          <w:szCs w:val="20"/>
          <w:lang w:eastAsia="en-US"/>
        </w:rPr>
        <w:t>Piccialli</w:t>
      </w:r>
      <w:proofErr w:type="spellEnd"/>
      <w:r w:rsidRPr="00ED444A">
        <w:rPr>
          <w:rFonts w:eastAsia="Calibri"/>
          <w:sz w:val="20"/>
          <w:szCs w:val="20"/>
          <w:lang w:eastAsia="en-US"/>
        </w:rPr>
        <w:t xml:space="preserve">, V.; Oliviero, G.; Borbone, N.; Amato, J.; D’Atri, V.; </w:t>
      </w:r>
      <w:proofErr w:type="spellStart"/>
      <w:r w:rsidRPr="00ED444A">
        <w:rPr>
          <w:rFonts w:eastAsia="Calibri"/>
          <w:sz w:val="20"/>
          <w:szCs w:val="20"/>
          <w:lang w:eastAsia="en-US"/>
        </w:rPr>
        <w:t>Piccialli</w:t>
      </w:r>
      <w:proofErr w:type="spellEnd"/>
      <w:r w:rsidRPr="00ED444A">
        <w:rPr>
          <w:rFonts w:eastAsia="Calibri"/>
          <w:sz w:val="20"/>
          <w:szCs w:val="20"/>
          <w:lang w:eastAsia="en-US"/>
        </w:rPr>
        <w:t xml:space="preserve">, G. </w:t>
      </w:r>
      <w:proofErr w:type="spellStart"/>
      <w:r w:rsidRPr="00ED444A">
        <w:rPr>
          <w:rFonts w:eastAsia="Calibri"/>
          <w:i/>
          <w:sz w:val="20"/>
          <w:szCs w:val="20"/>
          <w:lang w:eastAsia="en-US"/>
        </w:rPr>
        <w:t>Tetrahedron</w:t>
      </w:r>
      <w:proofErr w:type="spellEnd"/>
      <w:r w:rsidRPr="00ED444A">
        <w:rPr>
          <w:rFonts w:eastAsia="Calibri"/>
          <w:sz w:val="20"/>
          <w:szCs w:val="20"/>
          <w:lang w:eastAsia="en-US"/>
        </w:rPr>
        <w:t xml:space="preserve"> </w:t>
      </w:r>
      <w:r w:rsidRPr="00ED444A">
        <w:rPr>
          <w:rFonts w:eastAsia="Calibri"/>
          <w:b/>
          <w:sz w:val="20"/>
          <w:szCs w:val="20"/>
          <w:lang w:eastAsia="en-US"/>
        </w:rPr>
        <w:t>2011</w:t>
      </w:r>
      <w:r w:rsidRPr="00ED444A">
        <w:rPr>
          <w:rFonts w:eastAsia="Calibri"/>
          <w:sz w:val="20"/>
          <w:szCs w:val="20"/>
          <w:lang w:eastAsia="en-US"/>
        </w:rPr>
        <w:t xml:space="preserve">, </w:t>
      </w:r>
      <w:r w:rsidRPr="00ED444A">
        <w:rPr>
          <w:rFonts w:eastAsia="Calibri"/>
          <w:i/>
          <w:sz w:val="20"/>
          <w:szCs w:val="20"/>
          <w:lang w:eastAsia="en-US"/>
        </w:rPr>
        <w:t>67</w:t>
      </w:r>
      <w:r w:rsidRPr="00ED444A">
        <w:rPr>
          <w:rFonts w:eastAsia="Calibri"/>
          <w:sz w:val="20"/>
          <w:szCs w:val="20"/>
          <w:lang w:eastAsia="en-US"/>
        </w:rPr>
        <w:t>, 6138–6144.</w:t>
      </w:r>
    </w:p>
    <w:p w:rsidR="002D1AB9" w:rsidRPr="00ED444A" w:rsidRDefault="002D1AB9" w:rsidP="002D1AB9">
      <w:pPr>
        <w:pStyle w:val="NormaleWeb"/>
        <w:numPr>
          <w:ilvl w:val="0"/>
          <w:numId w:val="1"/>
        </w:numPr>
        <w:spacing w:before="0" w:beforeAutospacing="0" w:after="0" w:afterAutospacing="0"/>
        <w:ind w:left="426" w:hanging="426"/>
        <w:jc w:val="both"/>
        <w:rPr>
          <w:rFonts w:eastAsia="Calibri"/>
          <w:sz w:val="20"/>
          <w:szCs w:val="20"/>
          <w:lang w:val="en-US" w:eastAsia="en-US"/>
        </w:rPr>
      </w:pPr>
      <w:r w:rsidRPr="00ED444A">
        <w:rPr>
          <w:sz w:val="20"/>
          <w:szCs w:val="20"/>
        </w:rPr>
        <w:t xml:space="preserve">D’Errico, S.; Oliviero, G.; Borbone, N.; </w:t>
      </w:r>
      <w:proofErr w:type="spellStart"/>
      <w:r w:rsidRPr="00ED444A">
        <w:rPr>
          <w:sz w:val="20"/>
          <w:szCs w:val="20"/>
        </w:rPr>
        <w:t>Piccialli</w:t>
      </w:r>
      <w:proofErr w:type="spellEnd"/>
      <w:r w:rsidRPr="00ED444A">
        <w:rPr>
          <w:sz w:val="20"/>
          <w:szCs w:val="20"/>
        </w:rPr>
        <w:t xml:space="preserve">, V.; D’Atri, V.; </w:t>
      </w:r>
      <w:proofErr w:type="spellStart"/>
      <w:r w:rsidRPr="00ED444A">
        <w:rPr>
          <w:sz w:val="20"/>
          <w:szCs w:val="20"/>
        </w:rPr>
        <w:t>Mayol</w:t>
      </w:r>
      <w:proofErr w:type="spellEnd"/>
      <w:r w:rsidRPr="00ED444A">
        <w:rPr>
          <w:sz w:val="20"/>
          <w:szCs w:val="20"/>
        </w:rPr>
        <w:t xml:space="preserve">, L.; </w:t>
      </w:r>
      <w:proofErr w:type="spellStart"/>
      <w:r w:rsidRPr="00ED444A">
        <w:rPr>
          <w:sz w:val="20"/>
          <w:szCs w:val="20"/>
        </w:rPr>
        <w:t>Piccialli</w:t>
      </w:r>
      <w:proofErr w:type="spellEnd"/>
      <w:r w:rsidRPr="00ED444A">
        <w:rPr>
          <w:sz w:val="20"/>
          <w:szCs w:val="20"/>
        </w:rPr>
        <w:t xml:space="preserve">, G. </w:t>
      </w:r>
      <w:proofErr w:type="spellStart"/>
      <w:r w:rsidRPr="00ED444A">
        <w:rPr>
          <w:i/>
          <w:iCs/>
          <w:sz w:val="20"/>
          <w:szCs w:val="20"/>
        </w:rPr>
        <w:t>Eur</w:t>
      </w:r>
      <w:proofErr w:type="spellEnd"/>
      <w:r w:rsidRPr="00ED444A">
        <w:rPr>
          <w:i/>
          <w:iCs/>
          <w:sz w:val="20"/>
          <w:szCs w:val="20"/>
        </w:rPr>
        <w:t xml:space="preserve">. J. </w:t>
      </w:r>
      <w:proofErr w:type="spellStart"/>
      <w:r w:rsidRPr="00ED444A">
        <w:rPr>
          <w:i/>
          <w:iCs/>
          <w:sz w:val="20"/>
          <w:szCs w:val="20"/>
        </w:rPr>
        <w:t>Org</w:t>
      </w:r>
      <w:proofErr w:type="spellEnd"/>
      <w:r w:rsidRPr="00ED444A">
        <w:rPr>
          <w:i/>
          <w:iCs/>
          <w:sz w:val="20"/>
          <w:szCs w:val="20"/>
        </w:rPr>
        <w:t xml:space="preserve">. </w:t>
      </w:r>
      <w:proofErr w:type="spellStart"/>
      <w:r w:rsidRPr="00ED444A">
        <w:rPr>
          <w:i/>
          <w:iCs/>
          <w:sz w:val="20"/>
          <w:szCs w:val="20"/>
        </w:rPr>
        <w:t>Chem</w:t>
      </w:r>
      <w:proofErr w:type="spellEnd"/>
      <w:r w:rsidRPr="00ED444A">
        <w:rPr>
          <w:i/>
          <w:iCs/>
          <w:sz w:val="20"/>
          <w:szCs w:val="20"/>
        </w:rPr>
        <w:t>.</w:t>
      </w:r>
      <w:r w:rsidRPr="00ED444A">
        <w:rPr>
          <w:sz w:val="20"/>
          <w:szCs w:val="20"/>
        </w:rPr>
        <w:t xml:space="preserve"> </w:t>
      </w:r>
      <w:r w:rsidRPr="00ED444A">
        <w:rPr>
          <w:b/>
          <w:bCs/>
          <w:sz w:val="20"/>
          <w:szCs w:val="20"/>
        </w:rPr>
        <w:t>2013</w:t>
      </w:r>
      <w:r w:rsidRPr="00ED444A">
        <w:rPr>
          <w:sz w:val="20"/>
          <w:szCs w:val="20"/>
        </w:rPr>
        <w:t>, 6948–6954.</w:t>
      </w:r>
    </w:p>
    <w:p w:rsidR="002D1AB9" w:rsidRPr="00ED444A" w:rsidRDefault="002D1AB9" w:rsidP="002D1AB9">
      <w:pPr>
        <w:pStyle w:val="NormaleWeb"/>
        <w:numPr>
          <w:ilvl w:val="0"/>
          <w:numId w:val="1"/>
        </w:numPr>
        <w:spacing w:before="0" w:beforeAutospacing="0" w:after="0" w:afterAutospacing="0"/>
        <w:ind w:left="426" w:hanging="426"/>
        <w:jc w:val="both"/>
        <w:rPr>
          <w:rFonts w:eastAsia="Calibri"/>
          <w:sz w:val="20"/>
          <w:szCs w:val="20"/>
          <w:lang w:val="en-US" w:eastAsia="en-US"/>
        </w:rPr>
      </w:pPr>
      <w:r w:rsidRPr="00ED444A">
        <w:rPr>
          <w:sz w:val="20"/>
          <w:szCs w:val="20"/>
        </w:rPr>
        <w:t xml:space="preserve">D’Errico, S.; Oliviero, G.; Borbone, N.; </w:t>
      </w:r>
      <w:proofErr w:type="spellStart"/>
      <w:r w:rsidRPr="00ED444A">
        <w:rPr>
          <w:sz w:val="20"/>
          <w:szCs w:val="20"/>
        </w:rPr>
        <w:t>Nici</w:t>
      </w:r>
      <w:proofErr w:type="spellEnd"/>
      <w:r w:rsidRPr="00ED444A">
        <w:rPr>
          <w:sz w:val="20"/>
          <w:szCs w:val="20"/>
        </w:rPr>
        <w:t xml:space="preserve">, F.; </w:t>
      </w:r>
      <w:proofErr w:type="spellStart"/>
      <w:r w:rsidRPr="00ED444A">
        <w:rPr>
          <w:sz w:val="20"/>
          <w:szCs w:val="20"/>
        </w:rPr>
        <w:t>Piccialli</w:t>
      </w:r>
      <w:proofErr w:type="spellEnd"/>
      <w:r w:rsidRPr="00ED444A">
        <w:rPr>
          <w:sz w:val="20"/>
          <w:szCs w:val="20"/>
        </w:rPr>
        <w:t xml:space="preserve">, V.; Pinto, B.; D’Alonzo, D.; </w:t>
      </w:r>
      <w:proofErr w:type="spellStart"/>
      <w:r w:rsidRPr="00ED444A">
        <w:rPr>
          <w:sz w:val="20"/>
          <w:szCs w:val="20"/>
        </w:rPr>
        <w:t>Mayol</w:t>
      </w:r>
      <w:proofErr w:type="spellEnd"/>
      <w:r w:rsidRPr="00ED444A">
        <w:rPr>
          <w:sz w:val="20"/>
          <w:szCs w:val="20"/>
        </w:rPr>
        <w:t xml:space="preserve">, L.; </w:t>
      </w:r>
      <w:proofErr w:type="spellStart"/>
      <w:r w:rsidRPr="00ED444A">
        <w:rPr>
          <w:sz w:val="20"/>
          <w:szCs w:val="20"/>
        </w:rPr>
        <w:t>Piccialli</w:t>
      </w:r>
      <w:proofErr w:type="spellEnd"/>
      <w:r w:rsidRPr="00ED444A">
        <w:rPr>
          <w:sz w:val="20"/>
          <w:szCs w:val="20"/>
        </w:rPr>
        <w:t xml:space="preserve">, G. </w:t>
      </w:r>
      <w:proofErr w:type="spellStart"/>
      <w:r w:rsidRPr="00ED444A">
        <w:rPr>
          <w:i/>
          <w:iCs/>
          <w:sz w:val="20"/>
          <w:szCs w:val="20"/>
        </w:rPr>
        <w:t>Eur</w:t>
      </w:r>
      <w:proofErr w:type="spellEnd"/>
      <w:r w:rsidRPr="00ED444A">
        <w:rPr>
          <w:i/>
          <w:iCs/>
          <w:sz w:val="20"/>
          <w:szCs w:val="20"/>
        </w:rPr>
        <w:t xml:space="preserve">. J. </w:t>
      </w:r>
      <w:proofErr w:type="spellStart"/>
      <w:r w:rsidRPr="00ED444A">
        <w:rPr>
          <w:i/>
          <w:iCs/>
          <w:sz w:val="20"/>
          <w:szCs w:val="20"/>
        </w:rPr>
        <w:t>Org</w:t>
      </w:r>
      <w:proofErr w:type="spellEnd"/>
      <w:r w:rsidRPr="00ED444A">
        <w:rPr>
          <w:i/>
          <w:iCs/>
          <w:sz w:val="20"/>
          <w:szCs w:val="20"/>
        </w:rPr>
        <w:t xml:space="preserve">. </w:t>
      </w:r>
      <w:proofErr w:type="spellStart"/>
      <w:r w:rsidRPr="00ED444A">
        <w:rPr>
          <w:i/>
          <w:iCs/>
          <w:sz w:val="20"/>
          <w:szCs w:val="20"/>
        </w:rPr>
        <w:t>Chem</w:t>
      </w:r>
      <w:proofErr w:type="spellEnd"/>
      <w:r w:rsidRPr="00ED444A">
        <w:rPr>
          <w:i/>
          <w:iCs/>
          <w:sz w:val="20"/>
          <w:szCs w:val="20"/>
        </w:rPr>
        <w:t>.</w:t>
      </w:r>
      <w:r w:rsidRPr="00ED444A">
        <w:rPr>
          <w:sz w:val="20"/>
          <w:szCs w:val="20"/>
        </w:rPr>
        <w:t xml:space="preserve"> </w:t>
      </w:r>
      <w:r w:rsidRPr="00ED444A">
        <w:rPr>
          <w:b/>
          <w:bCs/>
          <w:sz w:val="20"/>
          <w:szCs w:val="20"/>
        </w:rPr>
        <w:t>2015</w:t>
      </w:r>
      <w:r w:rsidRPr="00ED444A">
        <w:rPr>
          <w:sz w:val="20"/>
          <w:szCs w:val="20"/>
        </w:rPr>
        <w:t xml:space="preserve">, </w:t>
      </w:r>
      <w:r w:rsidRPr="00ED444A">
        <w:rPr>
          <w:i/>
          <w:iCs/>
          <w:sz w:val="20"/>
          <w:szCs w:val="20"/>
        </w:rPr>
        <w:t>2015</w:t>
      </w:r>
      <w:r w:rsidRPr="00ED444A">
        <w:rPr>
          <w:sz w:val="20"/>
          <w:szCs w:val="20"/>
        </w:rPr>
        <w:t>, 2244–2249.</w:t>
      </w:r>
    </w:p>
    <w:p w:rsidR="00FA295B" w:rsidRDefault="002D1AB9">
      <w:bookmarkStart w:id="0" w:name="_GoBack"/>
      <w:bookmarkEnd w:id="0"/>
    </w:p>
    <w:sectPr w:rsidR="00FA29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1A70D4"/>
    <w:multiLevelType w:val="hybridMultilevel"/>
    <w:tmpl w:val="C90A0ECE"/>
    <w:lvl w:ilvl="0" w:tplc="734C8ADC">
      <w:start w:val="1"/>
      <w:numFmt w:val="decimal"/>
      <w:lvlText w:val="%1."/>
      <w:lvlJc w:val="left"/>
      <w:pPr>
        <w:ind w:left="786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AB9"/>
    <w:rsid w:val="002D1AB9"/>
    <w:rsid w:val="003619E4"/>
    <w:rsid w:val="0073394E"/>
    <w:rsid w:val="00B05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115E14-1D09-4284-B71B-F4AE2FBB2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D1A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2D1AB9"/>
    <w:pPr>
      <w:spacing w:before="100" w:beforeAutospacing="1" w:after="100" w:afterAutospacing="1"/>
    </w:pPr>
  </w:style>
  <w:style w:type="paragraph" w:customStyle="1" w:styleId="CHISA">
    <w:name w:val="CHISA"/>
    <w:rsid w:val="002D1AB9"/>
    <w:pPr>
      <w:spacing w:after="0" w:line="240" w:lineRule="auto"/>
    </w:pPr>
    <w:rPr>
      <w:rFonts w:ascii="Arial" w:eastAsia="Times New Roman" w:hAnsi="Arial" w:cs="Arial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D'ERRICO</dc:creator>
  <cp:keywords/>
  <dc:description/>
  <cp:lastModifiedBy>STEFANO D'ERRICO</cp:lastModifiedBy>
  <cp:revision>1</cp:revision>
  <dcterms:created xsi:type="dcterms:W3CDTF">2017-09-27T12:14:00Z</dcterms:created>
  <dcterms:modified xsi:type="dcterms:W3CDTF">2017-09-27T12:15:00Z</dcterms:modified>
</cp:coreProperties>
</file>