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1584" w:rsidRPr="00171584" w:rsidRDefault="00171584" w:rsidP="00171584">
      <w:pPr>
        <w:spacing w:before="120" w:after="120" w:line="348" w:lineRule="atLeast"/>
        <w:rPr>
          <w:rFonts w:ascii="Arial" w:eastAsia="Times New Roman" w:hAnsi="Arial" w:cs="Arial"/>
          <w:color w:val="000000"/>
          <w:sz w:val="17"/>
          <w:szCs w:val="17"/>
          <w:lang w:val="en-US" w:eastAsia="it-IT"/>
        </w:rPr>
      </w:pPr>
      <w:r w:rsidRPr="00171584">
        <w:rPr>
          <w:rFonts w:ascii="Arial" w:eastAsia="Times New Roman" w:hAnsi="Arial" w:cs="Arial"/>
          <w:color w:val="000000"/>
          <w:sz w:val="17"/>
          <w:szCs w:val="17"/>
          <w:lang w:eastAsia="it-IT"/>
        </w:rPr>
        <w:fldChar w:fldCharType="begin"/>
      </w:r>
      <w:r w:rsidRPr="00171584">
        <w:rPr>
          <w:rFonts w:ascii="Arial" w:eastAsia="Times New Roman" w:hAnsi="Arial" w:cs="Arial"/>
          <w:color w:val="000000"/>
          <w:sz w:val="17"/>
          <w:szCs w:val="17"/>
          <w:lang w:val="en-US" w:eastAsia="it-IT"/>
        </w:rPr>
        <w:instrText xml:space="preserve"> HYPERLINK "javascript:AL_get(this,%20'jour',%20'J%20Hypertens.');" \o "Journal of hypertension." </w:instrText>
      </w:r>
      <w:r w:rsidRPr="00171584">
        <w:rPr>
          <w:rFonts w:ascii="Arial" w:eastAsia="Times New Roman" w:hAnsi="Arial" w:cs="Arial"/>
          <w:color w:val="000000"/>
          <w:sz w:val="17"/>
          <w:szCs w:val="17"/>
          <w:lang w:eastAsia="it-IT"/>
        </w:rPr>
        <w:fldChar w:fldCharType="separate"/>
      </w:r>
      <w:r w:rsidRPr="00171584">
        <w:rPr>
          <w:rFonts w:ascii="Arial" w:eastAsia="Times New Roman" w:hAnsi="Arial" w:cs="Arial"/>
          <w:color w:val="000000"/>
          <w:sz w:val="17"/>
          <w:u w:val="single"/>
          <w:lang w:val="en-US" w:eastAsia="it-IT"/>
        </w:rPr>
        <w:t>J Hypertens.</w:t>
      </w:r>
      <w:r w:rsidRPr="00171584">
        <w:rPr>
          <w:rFonts w:ascii="Arial" w:eastAsia="Times New Roman" w:hAnsi="Arial" w:cs="Arial"/>
          <w:color w:val="000000"/>
          <w:sz w:val="17"/>
          <w:szCs w:val="17"/>
          <w:lang w:eastAsia="it-IT"/>
        </w:rPr>
        <w:fldChar w:fldCharType="end"/>
      </w:r>
      <w:r w:rsidRPr="00171584">
        <w:rPr>
          <w:rFonts w:ascii="Arial" w:eastAsia="Times New Roman" w:hAnsi="Arial" w:cs="Arial"/>
          <w:color w:val="000000"/>
          <w:sz w:val="17"/>
          <w:lang w:val="en-US" w:eastAsia="it-IT"/>
        </w:rPr>
        <w:t> </w:t>
      </w:r>
      <w:r w:rsidRPr="00171584">
        <w:rPr>
          <w:rFonts w:ascii="Arial" w:eastAsia="Times New Roman" w:hAnsi="Arial" w:cs="Arial"/>
          <w:color w:val="000000"/>
          <w:sz w:val="17"/>
          <w:szCs w:val="17"/>
          <w:lang w:val="en-US" w:eastAsia="it-IT"/>
        </w:rPr>
        <w:t>2010 Jul;28(7):1482-7.</w:t>
      </w:r>
    </w:p>
    <w:p w:rsidR="00171584" w:rsidRPr="00171584" w:rsidRDefault="00171584" w:rsidP="00171584">
      <w:pPr>
        <w:spacing w:before="90" w:after="90" w:line="270" w:lineRule="atLeast"/>
        <w:outlineLvl w:val="0"/>
        <w:rPr>
          <w:rFonts w:ascii="Arial" w:eastAsia="Times New Roman" w:hAnsi="Arial" w:cs="Arial"/>
          <w:b/>
          <w:bCs/>
          <w:color w:val="000000"/>
          <w:kern w:val="36"/>
          <w:sz w:val="24"/>
          <w:szCs w:val="24"/>
          <w:lang w:val="en-US" w:eastAsia="it-IT"/>
        </w:rPr>
      </w:pPr>
      <w:r w:rsidRPr="00171584">
        <w:rPr>
          <w:rFonts w:ascii="Arial" w:eastAsia="Times New Roman" w:hAnsi="Arial" w:cs="Arial"/>
          <w:b/>
          <w:bCs/>
          <w:color w:val="000000"/>
          <w:kern w:val="36"/>
          <w:sz w:val="24"/>
          <w:szCs w:val="24"/>
          <w:lang w:val="en-US" w:eastAsia="it-IT"/>
        </w:rPr>
        <w:t>Effects of nutraceuticals on prevalence of metabolic syndrome and on calculated Framingham Risk Score in individuals with dyslipidemia.</w:t>
      </w:r>
    </w:p>
    <w:p w:rsidR="00171584" w:rsidRPr="00171584" w:rsidRDefault="00171584" w:rsidP="00171584">
      <w:pPr>
        <w:spacing w:before="120" w:after="120" w:line="270" w:lineRule="atLeast"/>
        <w:rPr>
          <w:rFonts w:ascii="Arial" w:eastAsia="Times New Roman" w:hAnsi="Arial" w:cs="Arial"/>
          <w:color w:val="000000"/>
          <w:sz w:val="18"/>
          <w:szCs w:val="18"/>
          <w:lang w:eastAsia="it-IT"/>
        </w:rPr>
      </w:pPr>
      <w:r w:rsidRPr="00171584">
        <w:rPr>
          <w:rFonts w:ascii="Arial" w:eastAsia="Times New Roman" w:hAnsi="Arial" w:cs="Arial"/>
          <w:color w:val="000000"/>
          <w:sz w:val="18"/>
          <w:szCs w:val="18"/>
          <w:lang w:eastAsia="it-IT"/>
        </w:rPr>
        <w:fldChar w:fldCharType="begin"/>
      </w:r>
      <w:r w:rsidRPr="00171584">
        <w:rPr>
          <w:rFonts w:ascii="Arial" w:eastAsia="Times New Roman" w:hAnsi="Arial" w:cs="Arial"/>
          <w:color w:val="000000"/>
          <w:sz w:val="18"/>
          <w:szCs w:val="18"/>
          <w:lang w:eastAsia="it-IT"/>
        </w:rPr>
        <w:instrText xml:space="preserve"> HYPERLINK "http://www.ncbi.nlm.nih.gov/pubmed?term=%22Izzo%20R%22%5BAuthor%5D" </w:instrText>
      </w:r>
      <w:r w:rsidRPr="00171584">
        <w:rPr>
          <w:rFonts w:ascii="Arial" w:eastAsia="Times New Roman" w:hAnsi="Arial" w:cs="Arial"/>
          <w:color w:val="000000"/>
          <w:sz w:val="18"/>
          <w:szCs w:val="18"/>
          <w:lang w:eastAsia="it-IT"/>
        </w:rPr>
        <w:fldChar w:fldCharType="separate"/>
      </w:r>
      <w:r w:rsidRPr="00171584">
        <w:rPr>
          <w:rFonts w:ascii="Arial" w:eastAsia="Times New Roman" w:hAnsi="Arial" w:cs="Arial"/>
          <w:color w:val="000000"/>
          <w:sz w:val="18"/>
          <w:u w:val="single"/>
          <w:lang w:eastAsia="it-IT"/>
        </w:rPr>
        <w:t>Izzo R</w:t>
      </w:r>
      <w:r w:rsidRPr="00171584">
        <w:rPr>
          <w:rFonts w:ascii="Arial" w:eastAsia="Times New Roman" w:hAnsi="Arial" w:cs="Arial"/>
          <w:color w:val="000000"/>
          <w:sz w:val="18"/>
          <w:szCs w:val="18"/>
          <w:lang w:eastAsia="it-IT"/>
        </w:rPr>
        <w:fldChar w:fldCharType="end"/>
      </w:r>
      <w:r w:rsidRPr="00171584">
        <w:rPr>
          <w:rFonts w:ascii="Arial" w:eastAsia="Times New Roman" w:hAnsi="Arial" w:cs="Arial"/>
          <w:color w:val="000000"/>
          <w:sz w:val="18"/>
          <w:szCs w:val="18"/>
          <w:lang w:eastAsia="it-IT"/>
        </w:rPr>
        <w:t>,</w:t>
      </w:r>
      <w:r w:rsidRPr="00171584">
        <w:rPr>
          <w:rFonts w:ascii="Arial" w:eastAsia="Times New Roman" w:hAnsi="Arial" w:cs="Arial"/>
          <w:color w:val="000000"/>
          <w:sz w:val="18"/>
          <w:lang w:eastAsia="it-IT"/>
        </w:rPr>
        <w:t> </w:t>
      </w:r>
      <w:hyperlink r:id="rId4" w:history="1">
        <w:r w:rsidRPr="00171584">
          <w:rPr>
            <w:rFonts w:ascii="Arial" w:eastAsia="Times New Roman" w:hAnsi="Arial" w:cs="Arial"/>
            <w:color w:val="000000"/>
            <w:sz w:val="18"/>
            <w:u w:val="single"/>
            <w:lang w:eastAsia="it-IT"/>
          </w:rPr>
          <w:t>de Simone G</w:t>
        </w:r>
      </w:hyperlink>
      <w:r w:rsidRPr="00171584">
        <w:rPr>
          <w:rFonts w:ascii="Arial" w:eastAsia="Times New Roman" w:hAnsi="Arial" w:cs="Arial"/>
          <w:color w:val="000000"/>
          <w:sz w:val="18"/>
          <w:szCs w:val="18"/>
          <w:lang w:eastAsia="it-IT"/>
        </w:rPr>
        <w:t>,</w:t>
      </w:r>
      <w:r w:rsidRPr="00171584">
        <w:rPr>
          <w:rFonts w:ascii="Arial" w:eastAsia="Times New Roman" w:hAnsi="Arial" w:cs="Arial"/>
          <w:color w:val="000000"/>
          <w:sz w:val="18"/>
          <w:lang w:eastAsia="it-IT"/>
        </w:rPr>
        <w:t> </w:t>
      </w:r>
      <w:hyperlink r:id="rId5" w:history="1">
        <w:r w:rsidRPr="00171584">
          <w:rPr>
            <w:rFonts w:ascii="Arial" w:eastAsia="Times New Roman" w:hAnsi="Arial" w:cs="Arial"/>
            <w:color w:val="000000"/>
            <w:sz w:val="18"/>
            <w:u w:val="single"/>
            <w:lang w:eastAsia="it-IT"/>
          </w:rPr>
          <w:t>Giudice R</w:t>
        </w:r>
      </w:hyperlink>
      <w:r w:rsidRPr="00171584">
        <w:rPr>
          <w:rFonts w:ascii="Arial" w:eastAsia="Times New Roman" w:hAnsi="Arial" w:cs="Arial"/>
          <w:color w:val="000000"/>
          <w:sz w:val="18"/>
          <w:szCs w:val="18"/>
          <w:lang w:eastAsia="it-IT"/>
        </w:rPr>
        <w:t>,</w:t>
      </w:r>
      <w:r w:rsidRPr="00171584">
        <w:rPr>
          <w:rFonts w:ascii="Arial" w:eastAsia="Times New Roman" w:hAnsi="Arial" w:cs="Arial"/>
          <w:color w:val="000000"/>
          <w:sz w:val="18"/>
          <w:lang w:eastAsia="it-IT"/>
        </w:rPr>
        <w:t> </w:t>
      </w:r>
      <w:hyperlink r:id="rId6" w:history="1">
        <w:r w:rsidRPr="00171584">
          <w:rPr>
            <w:rFonts w:ascii="Arial" w:eastAsia="Times New Roman" w:hAnsi="Arial" w:cs="Arial"/>
            <w:color w:val="000000"/>
            <w:sz w:val="18"/>
            <w:u w:val="single"/>
            <w:lang w:eastAsia="it-IT"/>
          </w:rPr>
          <w:t>Chinali M</w:t>
        </w:r>
      </w:hyperlink>
      <w:r w:rsidRPr="00171584">
        <w:rPr>
          <w:rFonts w:ascii="Arial" w:eastAsia="Times New Roman" w:hAnsi="Arial" w:cs="Arial"/>
          <w:color w:val="000000"/>
          <w:sz w:val="18"/>
          <w:szCs w:val="18"/>
          <w:lang w:eastAsia="it-IT"/>
        </w:rPr>
        <w:t>,</w:t>
      </w:r>
      <w:r w:rsidRPr="00171584">
        <w:rPr>
          <w:rFonts w:ascii="Arial" w:eastAsia="Times New Roman" w:hAnsi="Arial" w:cs="Arial"/>
          <w:color w:val="000000"/>
          <w:sz w:val="18"/>
          <w:lang w:eastAsia="it-IT"/>
        </w:rPr>
        <w:t> </w:t>
      </w:r>
      <w:proofErr w:type="spellStart"/>
      <w:r w:rsidRPr="00171584">
        <w:rPr>
          <w:rFonts w:ascii="Arial" w:eastAsia="Times New Roman" w:hAnsi="Arial" w:cs="Arial"/>
          <w:color w:val="000000"/>
          <w:sz w:val="18"/>
          <w:szCs w:val="18"/>
          <w:lang w:eastAsia="it-IT"/>
        </w:rPr>
        <w:fldChar w:fldCharType="begin"/>
      </w:r>
      <w:r w:rsidRPr="00171584">
        <w:rPr>
          <w:rFonts w:ascii="Arial" w:eastAsia="Times New Roman" w:hAnsi="Arial" w:cs="Arial"/>
          <w:color w:val="000000"/>
          <w:sz w:val="18"/>
          <w:szCs w:val="18"/>
          <w:lang w:eastAsia="it-IT"/>
        </w:rPr>
        <w:instrText xml:space="preserve"> HYPERLINK "http://www.ncbi.nlm.nih.gov/pubmed?term=%22Trimarco%20V%22%5BAuthor%5D" </w:instrText>
      </w:r>
      <w:r w:rsidRPr="00171584">
        <w:rPr>
          <w:rFonts w:ascii="Arial" w:eastAsia="Times New Roman" w:hAnsi="Arial" w:cs="Arial"/>
          <w:color w:val="000000"/>
          <w:sz w:val="18"/>
          <w:szCs w:val="18"/>
          <w:lang w:eastAsia="it-IT"/>
        </w:rPr>
        <w:fldChar w:fldCharType="separate"/>
      </w:r>
      <w:r w:rsidRPr="00171584">
        <w:rPr>
          <w:rFonts w:ascii="Arial" w:eastAsia="Times New Roman" w:hAnsi="Arial" w:cs="Arial"/>
          <w:color w:val="000000"/>
          <w:sz w:val="18"/>
          <w:u w:val="single"/>
          <w:lang w:eastAsia="it-IT"/>
        </w:rPr>
        <w:t>Trimarco</w:t>
      </w:r>
      <w:proofErr w:type="spellEnd"/>
      <w:r w:rsidRPr="00171584">
        <w:rPr>
          <w:rFonts w:ascii="Arial" w:eastAsia="Times New Roman" w:hAnsi="Arial" w:cs="Arial"/>
          <w:color w:val="000000"/>
          <w:sz w:val="18"/>
          <w:u w:val="single"/>
          <w:lang w:eastAsia="it-IT"/>
        </w:rPr>
        <w:t xml:space="preserve"> V</w:t>
      </w:r>
      <w:r w:rsidRPr="00171584">
        <w:rPr>
          <w:rFonts w:ascii="Arial" w:eastAsia="Times New Roman" w:hAnsi="Arial" w:cs="Arial"/>
          <w:color w:val="000000"/>
          <w:sz w:val="18"/>
          <w:szCs w:val="18"/>
          <w:lang w:eastAsia="it-IT"/>
        </w:rPr>
        <w:fldChar w:fldCharType="end"/>
      </w:r>
      <w:r w:rsidRPr="00171584">
        <w:rPr>
          <w:rFonts w:ascii="Arial" w:eastAsia="Times New Roman" w:hAnsi="Arial" w:cs="Arial"/>
          <w:color w:val="000000"/>
          <w:sz w:val="18"/>
          <w:szCs w:val="18"/>
          <w:lang w:eastAsia="it-IT"/>
        </w:rPr>
        <w:t>,</w:t>
      </w:r>
      <w:r w:rsidRPr="00171584">
        <w:rPr>
          <w:rFonts w:ascii="Arial" w:eastAsia="Times New Roman" w:hAnsi="Arial" w:cs="Arial"/>
          <w:color w:val="000000"/>
          <w:sz w:val="18"/>
          <w:lang w:eastAsia="it-IT"/>
        </w:rPr>
        <w:t> </w:t>
      </w:r>
      <w:hyperlink r:id="rId7" w:history="1">
        <w:r w:rsidRPr="00171584">
          <w:rPr>
            <w:rFonts w:ascii="Arial" w:eastAsia="Times New Roman" w:hAnsi="Arial" w:cs="Arial"/>
            <w:color w:val="000000"/>
            <w:sz w:val="18"/>
            <w:u w:val="single"/>
            <w:lang w:eastAsia="it-IT"/>
          </w:rPr>
          <w:t>De Luca N</w:t>
        </w:r>
      </w:hyperlink>
      <w:r w:rsidRPr="00171584">
        <w:rPr>
          <w:rFonts w:ascii="Arial" w:eastAsia="Times New Roman" w:hAnsi="Arial" w:cs="Arial"/>
          <w:color w:val="000000"/>
          <w:sz w:val="18"/>
          <w:szCs w:val="18"/>
          <w:lang w:eastAsia="it-IT"/>
        </w:rPr>
        <w:t>,</w:t>
      </w:r>
      <w:r w:rsidRPr="00171584">
        <w:rPr>
          <w:rFonts w:ascii="Arial" w:eastAsia="Times New Roman" w:hAnsi="Arial" w:cs="Arial"/>
          <w:color w:val="000000"/>
          <w:sz w:val="18"/>
          <w:lang w:eastAsia="it-IT"/>
        </w:rPr>
        <w:t> </w:t>
      </w:r>
      <w:proofErr w:type="spellStart"/>
      <w:r w:rsidRPr="00171584">
        <w:rPr>
          <w:rFonts w:ascii="Arial" w:eastAsia="Times New Roman" w:hAnsi="Arial" w:cs="Arial"/>
          <w:color w:val="000000"/>
          <w:sz w:val="18"/>
          <w:szCs w:val="18"/>
          <w:lang w:eastAsia="it-IT"/>
        </w:rPr>
        <w:fldChar w:fldCharType="begin"/>
      </w:r>
      <w:r w:rsidRPr="00171584">
        <w:rPr>
          <w:rFonts w:ascii="Arial" w:eastAsia="Times New Roman" w:hAnsi="Arial" w:cs="Arial"/>
          <w:color w:val="000000"/>
          <w:sz w:val="18"/>
          <w:szCs w:val="18"/>
          <w:lang w:eastAsia="it-IT"/>
        </w:rPr>
        <w:instrText xml:space="preserve"> HYPERLINK "http://www.ncbi.nlm.nih.gov/pubmed?term=%22Trimarco%20B%22%5BAuthor%5D" </w:instrText>
      </w:r>
      <w:r w:rsidRPr="00171584">
        <w:rPr>
          <w:rFonts w:ascii="Arial" w:eastAsia="Times New Roman" w:hAnsi="Arial" w:cs="Arial"/>
          <w:color w:val="000000"/>
          <w:sz w:val="18"/>
          <w:szCs w:val="18"/>
          <w:lang w:eastAsia="it-IT"/>
        </w:rPr>
        <w:fldChar w:fldCharType="separate"/>
      </w:r>
      <w:r w:rsidRPr="00171584">
        <w:rPr>
          <w:rFonts w:ascii="Arial" w:eastAsia="Times New Roman" w:hAnsi="Arial" w:cs="Arial"/>
          <w:color w:val="000000"/>
          <w:sz w:val="18"/>
          <w:u w:val="single"/>
          <w:lang w:eastAsia="it-IT"/>
        </w:rPr>
        <w:t>Trimarco</w:t>
      </w:r>
      <w:proofErr w:type="spellEnd"/>
      <w:r w:rsidRPr="00171584">
        <w:rPr>
          <w:rFonts w:ascii="Arial" w:eastAsia="Times New Roman" w:hAnsi="Arial" w:cs="Arial"/>
          <w:color w:val="000000"/>
          <w:sz w:val="18"/>
          <w:u w:val="single"/>
          <w:lang w:eastAsia="it-IT"/>
        </w:rPr>
        <w:t xml:space="preserve"> B</w:t>
      </w:r>
      <w:r w:rsidRPr="00171584">
        <w:rPr>
          <w:rFonts w:ascii="Arial" w:eastAsia="Times New Roman" w:hAnsi="Arial" w:cs="Arial"/>
          <w:color w:val="000000"/>
          <w:sz w:val="18"/>
          <w:szCs w:val="18"/>
          <w:lang w:eastAsia="it-IT"/>
        </w:rPr>
        <w:fldChar w:fldCharType="end"/>
      </w:r>
      <w:r w:rsidRPr="00171584">
        <w:rPr>
          <w:rFonts w:ascii="Arial" w:eastAsia="Times New Roman" w:hAnsi="Arial" w:cs="Arial"/>
          <w:color w:val="000000"/>
          <w:sz w:val="18"/>
          <w:szCs w:val="18"/>
          <w:lang w:eastAsia="it-IT"/>
        </w:rPr>
        <w:t>.</w:t>
      </w:r>
    </w:p>
    <w:p w:rsidR="00171584" w:rsidRPr="00171584" w:rsidRDefault="00171584" w:rsidP="00171584">
      <w:pPr>
        <w:spacing w:before="120" w:after="120" w:line="262" w:lineRule="atLeast"/>
        <w:rPr>
          <w:rFonts w:ascii="Arial" w:eastAsia="Times New Roman" w:hAnsi="Arial" w:cs="Arial"/>
          <w:color w:val="000000"/>
          <w:sz w:val="17"/>
          <w:szCs w:val="17"/>
          <w:lang w:val="en-US" w:eastAsia="it-IT"/>
        </w:rPr>
      </w:pPr>
      <w:r w:rsidRPr="00171584">
        <w:rPr>
          <w:rFonts w:ascii="Arial" w:eastAsia="Times New Roman" w:hAnsi="Arial" w:cs="Arial"/>
          <w:color w:val="000000"/>
          <w:sz w:val="17"/>
          <w:szCs w:val="17"/>
          <w:lang w:val="en-US" w:eastAsia="it-IT"/>
        </w:rPr>
        <w:t>Department of Clinical Medicine, Cardiovascular and Immunological Sciences, Federico II University, Naples, Italy.</w:t>
      </w:r>
    </w:p>
    <w:p w:rsidR="00171584" w:rsidRPr="00171584" w:rsidRDefault="00171584" w:rsidP="00171584">
      <w:pPr>
        <w:spacing w:after="0" w:line="270" w:lineRule="atLeast"/>
        <w:outlineLvl w:val="2"/>
        <w:rPr>
          <w:rFonts w:ascii="Arial" w:eastAsia="Times New Roman" w:hAnsi="Arial" w:cs="Arial"/>
          <w:b/>
          <w:bCs/>
          <w:color w:val="985735"/>
          <w:lang w:val="en-US" w:eastAsia="it-IT"/>
        </w:rPr>
      </w:pPr>
      <w:r w:rsidRPr="00171584">
        <w:rPr>
          <w:rFonts w:ascii="Arial" w:eastAsia="Times New Roman" w:hAnsi="Arial" w:cs="Arial"/>
          <w:b/>
          <w:bCs/>
          <w:color w:val="985735"/>
          <w:lang w:val="en-US" w:eastAsia="it-IT"/>
        </w:rPr>
        <w:t>Abstract</w:t>
      </w:r>
    </w:p>
    <w:p w:rsidR="00171584" w:rsidRPr="00171584" w:rsidRDefault="00171584" w:rsidP="00171584">
      <w:pPr>
        <w:spacing w:after="0" w:line="270" w:lineRule="atLeast"/>
        <w:rPr>
          <w:rFonts w:ascii="Arial" w:eastAsia="Times New Roman" w:hAnsi="Arial" w:cs="Arial"/>
          <w:color w:val="000000"/>
          <w:sz w:val="18"/>
          <w:szCs w:val="18"/>
          <w:lang w:val="en-US" w:eastAsia="it-IT"/>
        </w:rPr>
      </w:pPr>
      <w:r w:rsidRPr="00171584">
        <w:rPr>
          <w:rFonts w:ascii="Arial" w:eastAsia="Times New Roman" w:hAnsi="Arial" w:cs="Arial"/>
          <w:b/>
          <w:bCs/>
          <w:color w:val="000000"/>
          <w:sz w:val="18"/>
          <w:lang w:val="en-US" w:eastAsia="it-IT"/>
        </w:rPr>
        <w:t>BACKGROUND: </w:t>
      </w:r>
      <w:r w:rsidRPr="00171584">
        <w:rPr>
          <w:rFonts w:ascii="Arial" w:eastAsia="Times New Roman" w:hAnsi="Arial" w:cs="Arial"/>
          <w:color w:val="000000"/>
          <w:sz w:val="18"/>
          <w:szCs w:val="18"/>
          <w:lang w:val="en-US" w:eastAsia="it-IT"/>
        </w:rPr>
        <w:t>Nutraceuticals (NUTs) are forms of compounds with biological activity and are used to improve health in dosage largely exceeding those obtainable in food.</w:t>
      </w:r>
    </w:p>
    <w:p w:rsidR="00171584" w:rsidRPr="00171584" w:rsidRDefault="00171584" w:rsidP="00171584">
      <w:pPr>
        <w:spacing w:after="0" w:line="270" w:lineRule="atLeast"/>
        <w:rPr>
          <w:rFonts w:ascii="Arial" w:eastAsia="Times New Roman" w:hAnsi="Arial" w:cs="Arial"/>
          <w:color w:val="000000"/>
          <w:sz w:val="18"/>
          <w:szCs w:val="18"/>
          <w:lang w:val="en-US" w:eastAsia="it-IT"/>
        </w:rPr>
      </w:pPr>
      <w:r w:rsidRPr="00171584">
        <w:rPr>
          <w:rFonts w:ascii="Arial" w:eastAsia="Times New Roman" w:hAnsi="Arial" w:cs="Arial"/>
          <w:b/>
          <w:bCs/>
          <w:color w:val="000000"/>
          <w:sz w:val="18"/>
          <w:lang w:val="en-US" w:eastAsia="it-IT"/>
        </w:rPr>
        <w:t>OBJECTIVES: </w:t>
      </w:r>
      <w:r w:rsidRPr="00171584">
        <w:rPr>
          <w:rFonts w:ascii="Arial" w:eastAsia="Times New Roman" w:hAnsi="Arial" w:cs="Arial"/>
          <w:color w:val="000000"/>
          <w:sz w:val="18"/>
          <w:szCs w:val="18"/>
          <w:lang w:val="en-US" w:eastAsia="it-IT"/>
        </w:rPr>
        <w:t>To investigate whether addition of NUTs to lifestyle management including diet counseling improves lipid profile and reduces cardiovascular risk and prevalence of metabolic syndrome (MetS).</w:t>
      </w:r>
    </w:p>
    <w:p w:rsidR="00171584" w:rsidRPr="00171584" w:rsidRDefault="00171584" w:rsidP="00171584">
      <w:pPr>
        <w:spacing w:after="0" w:line="270" w:lineRule="atLeast"/>
        <w:rPr>
          <w:rFonts w:ascii="Arial" w:eastAsia="Times New Roman" w:hAnsi="Arial" w:cs="Arial"/>
          <w:color w:val="000000"/>
          <w:sz w:val="18"/>
          <w:szCs w:val="18"/>
          <w:lang w:val="en-US" w:eastAsia="it-IT"/>
        </w:rPr>
      </w:pPr>
      <w:r w:rsidRPr="00171584">
        <w:rPr>
          <w:rFonts w:ascii="Arial" w:eastAsia="Times New Roman" w:hAnsi="Arial" w:cs="Arial"/>
          <w:b/>
          <w:bCs/>
          <w:color w:val="000000"/>
          <w:sz w:val="18"/>
          <w:lang w:val="en-US" w:eastAsia="it-IT"/>
        </w:rPr>
        <w:t>METHODS: </w:t>
      </w:r>
      <w:r w:rsidRPr="00171584">
        <w:rPr>
          <w:rFonts w:ascii="Arial" w:eastAsia="Times New Roman" w:hAnsi="Arial" w:cs="Arial"/>
          <w:color w:val="000000"/>
          <w:sz w:val="18"/>
          <w:szCs w:val="18"/>
          <w:lang w:val="en-US" w:eastAsia="it-IT"/>
        </w:rPr>
        <w:t xml:space="preserve">One thousand, three hundred and eighty, 18-80-year-old </w:t>
      </w:r>
      <w:proofErr w:type="spellStart"/>
      <w:r w:rsidRPr="00171584">
        <w:rPr>
          <w:rFonts w:ascii="Arial" w:eastAsia="Times New Roman" w:hAnsi="Arial" w:cs="Arial"/>
          <w:color w:val="000000"/>
          <w:sz w:val="18"/>
          <w:szCs w:val="18"/>
          <w:lang w:val="en-US" w:eastAsia="it-IT"/>
        </w:rPr>
        <w:t>nondiabetic</w:t>
      </w:r>
      <w:proofErr w:type="spellEnd"/>
      <w:r w:rsidRPr="00171584">
        <w:rPr>
          <w:rFonts w:ascii="Arial" w:eastAsia="Times New Roman" w:hAnsi="Arial" w:cs="Arial"/>
          <w:color w:val="000000"/>
          <w:sz w:val="18"/>
          <w:szCs w:val="18"/>
          <w:lang w:val="en-US" w:eastAsia="it-IT"/>
        </w:rPr>
        <w:t xml:space="preserve"> participants with </w:t>
      </w:r>
      <w:proofErr w:type="spellStart"/>
      <w:r w:rsidRPr="00171584">
        <w:rPr>
          <w:rFonts w:ascii="Arial" w:eastAsia="Times New Roman" w:hAnsi="Arial" w:cs="Arial"/>
          <w:color w:val="000000"/>
          <w:sz w:val="18"/>
          <w:szCs w:val="18"/>
          <w:lang w:val="en-US" w:eastAsia="it-IT"/>
        </w:rPr>
        <w:t>dyslipidemia</w:t>
      </w:r>
      <w:proofErr w:type="spellEnd"/>
      <w:r w:rsidRPr="00171584">
        <w:rPr>
          <w:rFonts w:ascii="Arial" w:eastAsia="Times New Roman" w:hAnsi="Arial" w:cs="Arial"/>
          <w:color w:val="000000"/>
          <w:sz w:val="18"/>
          <w:szCs w:val="18"/>
          <w:lang w:val="en-US" w:eastAsia="it-IT"/>
        </w:rPr>
        <w:t xml:space="preserve">, with or without </w:t>
      </w:r>
      <w:proofErr w:type="spellStart"/>
      <w:r w:rsidRPr="00171584">
        <w:rPr>
          <w:rFonts w:ascii="Arial" w:eastAsia="Times New Roman" w:hAnsi="Arial" w:cs="Arial"/>
          <w:color w:val="000000"/>
          <w:sz w:val="18"/>
          <w:szCs w:val="18"/>
          <w:lang w:val="en-US" w:eastAsia="it-IT"/>
        </w:rPr>
        <w:t>MetS</w:t>
      </w:r>
      <w:proofErr w:type="spellEnd"/>
      <w:r w:rsidRPr="00171584">
        <w:rPr>
          <w:rFonts w:ascii="Arial" w:eastAsia="Times New Roman" w:hAnsi="Arial" w:cs="Arial"/>
          <w:color w:val="000000"/>
          <w:sz w:val="18"/>
          <w:szCs w:val="18"/>
          <w:lang w:val="en-US" w:eastAsia="it-IT"/>
        </w:rPr>
        <w:t xml:space="preserve"> not requiring pharmacological therapy were assigned to diet; after 2 weeks, 690 patients were also given NUT combination over other 8 weeks. Fasting plasma glucose and lipid compounds were measured by standard methods. Waist circumference, systolic and diastolic blood pressure (BP) were measured at each visit. </w:t>
      </w:r>
      <w:proofErr w:type="spellStart"/>
      <w:r w:rsidRPr="00171584">
        <w:rPr>
          <w:rFonts w:ascii="Arial" w:eastAsia="Times New Roman" w:hAnsi="Arial" w:cs="Arial"/>
          <w:color w:val="000000"/>
          <w:sz w:val="18"/>
          <w:szCs w:val="18"/>
          <w:lang w:val="en-US" w:eastAsia="it-IT"/>
        </w:rPr>
        <w:t>MetS</w:t>
      </w:r>
      <w:proofErr w:type="spellEnd"/>
      <w:r w:rsidRPr="00171584">
        <w:rPr>
          <w:rFonts w:ascii="Arial" w:eastAsia="Times New Roman" w:hAnsi="Arial" w:cs="Arial"/>
          <w:color w:val="000000"/>
          <w:sz w:val="18"/>
          <w:szCs w:val="18"/>
          <w:lang w:val="en-US" w:eastAsia="it-IT"/>
        </w:rPr>
        <w:t xml:space="preserve"> was defined according to ATPIII guidelines. Ten-year risk of coronary heart disease was calculated using the Framingham Risk Score (FRS).</w:t>
      </w:r>
    </w:p>
    <w:p w:rsidR="00171584" w:rsidRPr="00171584" w:rsidRDefault="00171584" w:rsidP="00171584">
      <w:pPr>
        <w:spacing w:after="0" w:line="270" w:lineRule="atLeast"/>
        <w:rPr>
          <w:rFonts w:ascii="Arial" w:eastAsia="Times New Roman" w:hAnsi="Arial" w:cs="Arial"/>
          <w:color w:val="000000"/>
          <w:sz w:val="18"/>
          <w:szCs w:val="18"/>
          <w:lang w:val="en-US" w:eastAsia="it-IT"/>
        </w:rPr>
      </w:pPr>
      <w:r w:rsidRPr="00171584">
        <w:rPr>
          <w:rFonts w:ascii="Arial" w:eastAsia="Times New Roman" w:hAnsi="Arial" w:cs="Arial"/>
          <w:b/>
          <w:bCs/>
          <w:color w:val="000000"/>
          <w:sz w:val="18"/>
          <w:lang w:val="en-US" w:eastAsia="it-IT"/>
        </w:rPr>
        <w:t>RESULTS: </w:t>
      </w:r>
      <w:r w:rsidRPr="00171584">
        <w:rPr>
          <w:rFonts w:ascii="Arial" w:eastAsia="Times New Roman" w:hAnsi="Arial" w:cs="Arial"/>
          <w:color w:val="000000"/>
          <w:sz w:val="18"/>
          <w:szCs w:val="18"/>
          <w:lang w:val="en-US" w:eastAsia="it-IT"/>
        </w:rPr>
        <w:t xml:space="preserve">At baseline, NUT patients were older and more </w:t>
      </w:r>
      <w:proofErr w:type="spellStart"/>
      <w:r w:rsidRPr="00171584">
        <w:rPr>
          <w:rFonts w:ascii="Arial" w:eastAsia="Times New Roman" w:hAnsi="Arial" w:cs="Arial"/>
          <w:color w:val="000000"/>
          <w:sz w:val="18"/>
          <w:szCs w:val="18"/>
          <w:lang w:val="en-US" w:eastAsia="it-IT"/>
        </w:rPr>
        <w:t>dyslipidemic</w:t>
      </w:r>
      <w:proofErr w:type="spellEnd"/>
      <w:r w:rsidRPr="00171584">
        <w:rPr>
          <w:rFonts w:ascii="Arial" w:eastAsia="Times New Roman" w:hAnsi="Arial" w:cs="Arial"/>
          <w:color w:val="000000"/>
          <w:sz w:val="18"/>
          <w:szCs w:val="18"/>
          <w:lang w:val="en-US" w:eastAsia="it-IT"/>
        </w:rPr>
        <w:t xml:space="preserve"> than placebo, with no difference in other cardiovascular risk factors and prevalence of </w:t>
      </w:r>
      <w:proofErr w:type="spellStart"/>
      <w:r w:rsidRPr="00171584">
        <w:rPr>
          <w:rFonts w:ascii="Arial" w:eastAsia="Times New Roman" w:hAnsi="Arial" w:cs="Arial"/>
          <w:color w:val="000000"/>
          <w:sz w:val="18"/>
          <w:szCs w:val="18"/>
          <w:lang w:val="en-US" w:eastAsia="it-IT"/>
        </w:rPr>
        <w:t>MetS</w:t>
      </w:r>
      <w:proofErr w:type="spellEnd"/>
      <w:r w:rsidRPr="00171584">
        <w:rPr>
          <w:rFonts w:ascii="Arial" w:eastAsia="Times New Roman" w:hAnsi="Arial" w:cs="Arial"/>
          <w:color w:val="000000"/>
          <w:sz w:val="18"/>
          <w:szCs w:val="18"/>
          <w:lang w:val="en-US" w:eastAsia="it-IT"/>
        </w:rPr>
        <w:t xml:space="preserve">. After 8 weeks, high-density lipoprotein (HDL) cholesterol was increased and diastolic BP, waist girth, triglycerides, total and non-HDL cholesterol were significantly reduced in NUT than in the placebo group, whereas systolic BP and fasting glucose did not change. Prevalence of </w:t>
      </w:r>
      <w:proofErr w:type="spellStart"/>
      <w:r w:rsidRPr="00171584">
        <w:rPr>
          <w:rFonts w:ascii="Arial" w:eastAsia="Times New Roman" w:hAnsi="Arial" w:cs="Arial"/>
          <w:color w:val="000000"/>
          <w:sz w:val="18"/>
          <w:szCs w:val="18"/>
          <w:lang w:val="en-US" w:eastAsia="it-IT"/>
        </w:rPr>
        <w:t>MetS</w:t>
      </w:r>
      <w:proofErr w:type="spellEnd"/>
      <w:r w:rsidRPr="00171584">
        <w:rPr>
          <w:rFonts w:ascii="Arial" w:eastAsia="Times New Roman" w:hAnsi="Arial" w:cs="Arial"/>
          <w:color w:val="000000"/>
          <w:sz w:val="18"/>
          <w:szCs w:val="18"/>
          <w:lang w:val="en-US" w:eastAsia="it-IT"/>
        </w:rPr>
        <w:t xml:space="preserve"> was also significantly lower in the NUT (36.1%) than in placebo (48.1%, P &lt; 0.05) and reduction in the FRS greater (73.3 vs. 52%, respectively; P &lt; 0.0001).</w:t>
      </w:r>
    </w:p>
    <w:p w:rsidR="00171584" w:rsidRPr="00171584" w:rsidRDefault="00171584" w:rsidP="00171584">
      <w:pPr>
        <w:spacing w:line="270" w:lineRule="atLeast"/>
        <w:rPr>
          <w:rFonts w:ascii="Arial" w:eastAsia="Times New Roman" w:hAnsi="Arial" w:cs="Arial"/>
          <w:color w:val="000000"/>
          <w:sz w:val="18"/>
          <w:szCs w:val="18"/>
          <w:lang w:val="en-US" w:eastAsia="it-IT"/>
        </w:rPr>
      </w:pPr>
      <w:r w:rsidRPr="00171584">
        <w:rPr>
          <w:rFonts w:ascii="Arial" w:eastAsia="Times New Roman" w:hAnsi="Arial" w:cs="Arial"/>
          <w:b/>
          <w:bCs/>
          <w:color w:val="000000"/>
          <w:sz w:val="18"/>
          <w:lang w:val="en-US" w:eastAsia="it-IT"/>
        </w:rPr>
        <w:t>CONCLUSION: </w:t>
      </w:r>
      <w:r w:rsidRPr="00171584">
        <w:rPr>
          <w:rFonts w:ascii="Arial" w:eastAsia="Times New Roman" w:hAnsi="Arial" w:cs="Arial"/>
          <w:color w:val="000000"/>
          <w:sz w:val="18"/>
          <w:szCs w:val="18"/>
          <w:lang w:val="en-US" w:eastAsia="it-IT"/>
        </w:rPr>
        <w:t xml:space="preserve">In a large clinical sample of patients with moderate cardiovascular risk, combination of NUT with dietary counseling reduces central obesity, improves lipid profile, diastolic BP and FRS, and decreases prevalence of </w:t>
      </w:r>
      <w:proofErr w:type="spellStart"/>
      <w:r w:rsidRPr="00171584">
        <w:rPr>
          <w:rFonts w:ascii="Arial" w:eastAsia="Times New Roman" w:hAnsi="Arial" w:cs="Arial"/>
          <w:color w:val="000000"/>
          <w:sz w:val="18"/>
          <w:szCs w:val="18"/>
          <w:lang w:val="en-US" w:eastAsia="it-IT"/>
        </w:rPr>
        <w:t>MetS</w:t>
      </w:r>
      <w:proofErr w:type="spellEnd"/>
      <w:r w:rsidRPr="00171584">
        <w:rPr>
          <w:rFonts w:ascii="Arial" w:eastAsia="Times New Roman" w:hAnsi="Arial" w:cs="Arial"/>
          <w:color w:val="000000"/>
          <w:sz w:val="18"/>
          <w:szCs w:val="18"/>
          <w:lang w:val="en-US" w:eastAsia="it-IT"/>
        </w:rPr>
        <w:t>.</w:t>
      </w:r>
    </w:p>
    <w:p w:rsidR="00171584" w:rsidRPr="00171584" w:rsidRDefault="00171584" w:rsidP="00171584">
      <w:pPr>
        <w:spacing w:before="120" w:after="120" w:line="270" w:lineRule="atLeast"/>
        <w:rPr>
          <w:rFonts w:ascii="Arial" w:eastAsia="Times New Roman" w:hAnsi="Arial" w:cs="Arial"/>
          <w:color w:val="000000"/>
          <w:sz w:val="17"/>
          <w:szCs w:val="17"/>
          <w:lang w:val="en-US" w:eastAsia="it-IT"/>
        </w:rPr>
      </w:pPr>
      <w:r w:rsidRPr="00171584">
        <w:rPr>
          <w:rFonts w:ascii="Arial" w:eastAsia="Times New Roman" w:hAnsi="Arial" w:cs="Arial"/>
          <w:color w:val="000000"/>
          <w:sz w:val="17"/>
          <w:lang w:val="en-US" w:eastAsia="it-IT"/>
        </w:rPr>
        <w:t>PMID: 20498621 [</w:t>
      </w:r>
      <w:proofErr w:type="spellStart"/>
      <w:r w:rsidRPr="00171584">
        <w:rPr>
          <w:rFonts w:ascii="Arial" w:eastAsia="Times New Roman" w:hAnsi="Arial" w:cs="Arial"/>
          <w:color w:val="000000"/>
          <w:sz w:val="17"/>
          <w:lang w:val="en-US" w:eastAsia="it-IT"/>
        </w:rPr>
        <w:t>PubMed</w:t>
      </w:r>
      <w:proofErr w:type="spellEnd"/>
      <w:r w:rsidRPr="00171584">
        <w:rPr>
          <w:rFonts w:ascii="Arial" w:eastAsia="Times New Roman" w:hAnsi="Arial" w:cs="Arial"/>
          <w:color w:val="000000"/>
          <w:sz w:val="17"/>
          <w:lang w:val="en-US" w:eastAsia="it-IT"/>
        </w:rPr>
        <w:t xml:space="preserve"> - indexed for MEDLINE]</w:t>
      </w:r>
    </w:p>
    <w:p w:rsidR="00BD57C1" w:rsidRPr="00171584" w:rsidRDefault="00BD57C1">
      <w:pPr>
        <w:rPr>
          <w:lang w:val="en-US"/>
        </w:rPr>
      </w:pPr>
    </w:p>
    <w:sectPr w:rsidR="00BD57C1" w:rsidRPr="00171584" w:rsidSect="00BD57C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171584"/>
    <w:rsid w:val="00171584"/>
    <w:rsid w:val="00BD57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D57C1"/>
  </w:style>
  <w:style w:type="paragraph" w:styleId="Titolo1">
    <w:name w:val="heading 1"/>
    <w:basedOn w:val="Normale"/>
    <w:link w:val="Titolo1Carattere"/>
    <w:uiPriority w:val="9"/>
    <w:qFormat/>
    <w:rsid w:val="0017158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paragraph" w:styleId="Titolo3">
    <w:name w:val="heading 3"/>
    <w:basedOn w:val="Normale"/>
    <w:link w:val="Titolo3Carattere"/>
    <w:uiPriority w:val="9"/>
    <w:qFormat/>
    <w:rsid w:val="0017158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171584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rsid w:val="00171584"/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paragraph" w:customStyle="1" w:styleId="citation">
    <w:name w:val="citation"/>
    <w:basedOn w:val="Normale"/>
    <w:rsid w:val="001715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171584"/>
    <w:rPr>
      <w:color w:val="0000FF"/>
      <w:u w:val="single"/>
    </w:rPr>
  </w:style>
  <w:style w:type="character" w:customStyle="1" w:styleId="apple-converted-space">
    <w:name w:val="apple-converted-space"/>
    <w:basedOn w:val="Carpredefinitoparagrafo"/>
    <w:rsid w:val="00171584"/>
  </w:style>
  <w:style w:type="paragraph" w:customStyle="1" w:styleId="authlist">
    <w:name w:val="auth_list"/>
    <w:basedOn w:val="Normale"/>
    <w:rsid w:val="001715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aff">
    <w:name w:val="aff"/>
    <w:basedOn w:val="Normale"/>
    <w:rsid w:val="001715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NormaleWeb">
    <w:name w:val="Normal (Web)"/>
    <w:basedOn w:val="Normale"/>
    <w:uiPriority w:val="99"/>
    <w:semiHidden/>
    <w:unhideWhenUsed/>
    <w:rsid w:val="001715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subabstractlabel">
    <w:name w:val="sub_abstract_label"/>
    <w:basedOn w:val="Carpredefinitoparagrafo"/>
    <w:rsid w:val="00171584"/>
  </w:style>
  <w:style w:type="paragraph" w:customStyle="1" w:styleId="rprtid">
    <w:name w:val="rprtid"/>
    <w:basedOn w:val="Normale"/>
    <w:rsid w:val="001715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pmid">
    <w:name w:val="pmid"/>
    <w:basedOn w:val="Carpredefinitoparagrafo"/>
    <w:rsid w:val="0017158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558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3187256">
          <w:marLeft w:val="0"/>
          <w:marRight w:val="0"/>
          <w:marTop w:val="264"/>
          <w:marBottom w:val="28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ncbi.nlm.nih.gov/pubmed?term=%22De%20Luca%20N%22%5BAuthor%5D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cbi.nlm.nih.gov/pubmed?term=%22Chinali%20M%22%5BAuthor%5D" TargetMode="External"/><Relationship Id="rId5" Type="http://schemas.openxmlformats.org/officeDocument/2006/relationships/hyperlink" Target="http://www.ncbi.nlm.nih.gov/pubmed?term=%22Giudice%20R%22%5BAuthor%5D" TargetMode="External"/><Relationship Id="rId4" Type="http://schemas.openxmlformats.org/officeDocument/2006/relationships/hyperlink" Target="http://www.ncbi.nlm.nih.gov/pubmed?term=%22de%20Simone%20G%22%5BAuthor%5D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435</Words>
  <Characters>2484</Characters>
  <Application>Microsoft Office Word</Application>
  <DocSecurity>0</DocSecurity>
  <Lines>20</Lines>
  <Paragraphs>5</Paragraphs>
  <ScaleCrop>false</ScaleCrop>
  <Company> </Company>
  <LinksUpToDate>false</LinksUpToDate>
  <CharactersWithSpaces>2914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Venturini</dc:creator>
  <cp:keywords/>
  <dc:description/>
  <cp:lastModifiedBy>Anna Venturini</cp:lastModifiedBy>
  <cp:revision>1</cp:revision>
  <dcterms:created xsi:type="dcterms:W3CDTF">2011-01-03T09:22:00Z</dcterms:created>
  <dcterms:modified xsi:type="dcterms:W3CDTF">2011-01-03T09:23:00Z</dcterms:modified>
</cp:coreProperties>
</file>